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0" w:name="_GoBack"/>
      <w:bookmarkEnd w:id="0"/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БЮДЖЕТ ЗА 2015 г.</w:t>
      </w:r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1" w:name="_Toc370402899"/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В</w:t>
      </w:r>
      <w:bookmarkEnd w:id="1"/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2" w:name="_Toc370402900"/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ПРОГРАМЕН ФОРМАТ</w:t>
      </w:r>
      <w:bookmarkEnd w:id="2"/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bookmarkStart w:id="3" w:name="_Toc370402901"/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НА</w:t>
      </w:r>
      <w:bookmarkEnd w:id="3"/>
    </w:p>
    <w:p w:rsidR="00C56790" w:rsidRPr="000C1188" w:rsidRDefault="00C56790" w:rsidP="00915E5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МИНИСТЕРСТВО НА ТУРИЗМА</w:t>
      </w:r>
    </w:p>
    <w:p w:rsidR="00C56790" w:rsidRPr="000C1188" w:rsidRDefault="00C56790" w:rsidP="009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lastRenderedPageBreak/>
        <w:t>С Ъ Д Ъ Р Ж А Н И Е</w:t>
      </w:r>
    </w:p>
    <w:p w:rsidR="00C56790" w:rsidRPr="000C1188" w:rsidRDefault="00C56790" w:rsidP="009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567"/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begin"/>
      </w:r>
      <w:r w:rsidRPr="000C1188">
        <w:rPr>
          <w:rFonts w:ascii="Times New Roman" w:hAnsi="Times New Roman" w:cs="Times New Roman"/>
          <w:caps/>
          <w:sz w:val="24"/>
          <w:szCs w:val="24"/>
          <w:lang w:val="bg-BG" w:eastAsia="bg-BG"/>
        </w:rPr>
        <w:instrText xml:space="preserve"> TOC \o "1-2" \h \z \u </w:instrText>
      </w:r>
      <w:r w:rsidRPr="000C1188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separate"/>
      </w:r>
      <w:hyperlink w:anchor="_Toc382332160" w:history="1">
        <w:r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>I.</w:t>
        </w:r>
        <w:r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ab/>
          <w:t>Мисия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_Toc382332160 \h </w:instrTex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3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3E3A7E" w:rsidP="00915E53">
      <w:pPr>
        <w:tabs>
          <w:tab w:val="left" w:pos="567"/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hyperlink w:anchor="_Toc382332161" w:history="1"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>II.</w:t>
        </w:r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ab/>
          <w:t>организационно развитие и капацитет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_Toc382332161 \h </w:instrTex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4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3E3A7E" w:rsidP="00915E53">
      <w:pPr>
        <w:tabs>
          <w:tab w:val="left" w:pos="567"/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hyperlink w:anchor="_Toc382332164" w:history="1"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eastAsia="bg-BG"/>
          </w:rPr>
          <w:t>iii</w:t>
        </w:r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>.</w:t>
        </w:r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ab/>
          <w:t>ПОЛИТИКА В ОБЛАСТТА НА "УСТОЙЧИВОТО РАЗВИТИЕ НА ТУРИЗМА"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_Toc382332164 \h </w:instrTex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5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C56790" w:rsidP="00915E53">
      <w:pPr>
        <w:tabs>
          <w:tab w:val="left" w:pos="567"/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noProof/>
          <w:sz w:val="24"/>
          <w:szCs w:val="24"/>
          <w:lang w:val="bg-BG"/>
        </w:rPr>
        <w:softHyphen/>
        <w:t>І</w:t>
      </w:r>
      <w:hyperlink w:anchor="_Toc382332166" w:history="1">
        <w:r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>V.</w:t>
        </w:r>
        <w:r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ab/>
          <w:t>Основни параметри на бюджета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_Toc382332166 \h </w:instrTex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7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3E3A7E" w:rsidP="00915E53">
      <w:pPr>
        <w:tabs>
          <w:tab w:val="left" w:pos="567"/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hyperlink w:anchor="_Toc382332167" w:history="1"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>V.</w:t>
        </w:r>
        <w:r w:rsidR="00C56790" w:rsidRPr="000C1188">
          <w:rPr>
            <w:rFonts w:ascii="Times New Roman" w:hAnsi="Times New Roman" w:cs="Times New Roman"/>
            <w:caps/>
            <w:noProof/>
            <w:sz w:val="24"/>
            <w:szCs w:val="24"/>
            <w:lang w:val="bg-BG" w:eastAsia="bg-BG"/>
          </w:rPr>
          <w:tab/>
          <w:t>бюджет по програми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_Toc382332167 \h </w:instrTex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9</w:t>
        </w:r>
        <w:r w:rsidR="00C56790"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C56790" w:rsidP="00915E53">
      <w:pPr>
        <w:tabs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aps/>
          <w:noProof/>
          <w:color w:val="000000"/>
          <w:sz w:val="24"/>
          <w:szCs w:val="24"/>
          <w:lang w:val="bg-BG" w:eastAsia="bg-BG"/>
        </w:rPr>
        <w:t xml:space="preserve">бюджетна </w:t>
      </w:r>
      <w:hyperlink w:anchor="_Toc382332179" w:history="1">
        <w:r w:rsidRPr="000C1188">
          <w:rPr>
            <w:rFonts w:ascii="Times New Roman" w:hAnsi="Times New Roman" w:cs="Times New Roman"/>
            <w:caps/>
            <w:noProof/>
            <w:color w:val="000000"/>
            <w:sz w:val="24"/>
            <w:szCs w:val="24"/>
            <w:lang w:val="bg-BG" w:eastAsia="bg-BG"/>
          </w:rPr>
          <w:t>Програма "ПОДОБРЯВАНЕНА ПОЛИТИКИТЕ И РЕГУЛАЦИИТЕ В СЕКТОРА НА ТУРИЗМА"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_Toc382332179 \h </w:instrTex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9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C56790" w:rsidP="00915E53">
      <w:pPr>
        <w:tabs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aps/>
          <w:noProof/>
          <w:color w:val="000000"/>
          <w:sz w:val="24"/>
          <w:szCs w:val="24"/>
          <w:lang w:val="bg-BG" w:eastAsia="bg-BG"/>
        </w:rPr>
        <w:t xml:space="preserve">бюджетна </w:t>
      </w:r>
      <w:hyperlink w:anchor="_Toc382332180" w:history="1">
        <w:r w:rsidRPr="000C1188">
          <w:rPr>
            <w:rFonts w:ascii="Times New Roman" w:hAnsi="Times New Roman" w:cs="Times New Roman"/>
            <w:caps/>
            <w:noProof/>
            <w:color w:val="000000"/>
            <w:sz w:val="24"/>
            <w:szCs w:val="24"/>
            <w:lang w:val="bg-BG" w:eastAsia="bg-BG"/>
          </w:rPr>
          <w:t>Програма  "РАЗВИТИЕ НА НАЦИОНАЛНАТА ТУРИСТИЧЕСКА РЕКЛАМА И МЕЖДУНАРОДНО СЪТРУДНИЧЕСТВО В ОБЛАСТТА НА ТУРИЗМА"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_Toc382332180 \h </w:instrTex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14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C56790" w:rsidP="00915E53">
      <w:pPr>
        <w:tabs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noProof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aps/>
          <w:noProof/>
          <w:color w:val="000000"/>
          <w:sz w:val="24"/>
          <w:szCs w:val="24"/>
          <w:lang w:val="bg-BG" w:eastAsia="bg-BG"/>
        </w:rPr>
        <w:t xml:space="preserve">бюджетна </w:t>
      </w:r>
      <w:hyperlink w:anchor="_Toc382332185" w:history="1">
        <w:r w:rsidRPr="000C1188">
          <w:rPr>
            <w:rFonts w:ascii="Times New Roman" w:hAnsi="Times New Roman" w:cs="Times New Roman"/>
            <w:caps/>
            <w:noProof/>
            <w:color w:val="000000"/>
            <w:sz w:val="24"/>
            <w:szCs w:val="24"/>
            <w:lang w:val="bg-BG" w:eastAsia="bg-BG"/>
          </w:rPr>
          <w:t>ПРОГРАМА "АДМИНИСТРАЦИЯ"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ab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begin"/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instrText xml:space="preserve"> PAGEREF _Toc382332185 \h </w:instrTex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separate"/>
        </w:r>
        <w:r w:rsidR="001310C7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t>20</w:t>
        </w:r>
        <w:r w:rsidRPr="000C1188">
          <w:rPr>
            <w:rFonts w:ascii="Times New Roman" w:hAnsi="Times New Roman" w:cs="Times New Roman"/>
            <w:caps/>
            <w:noProof/>
            <w:webHidden/>
            <w:sz w:val="24"/>
            <w:szCs w:val="24"/>
            <w:lang w:val="bg-BG" w:eastAsia="bg-BG"/>
          </w:rPr>
          <w:fldChar w:fldCharType="end"/>
        </w:r>
      </w:hyperlink>
    </w:p>
    <w:p w:rsidR="00C56790" w:rsidRPr="000C1188" w:rsidRDefault="00C56790" w:rsidP="00915E53">
      <w:pPr>
        <w:tabs>
          <w:tab w:val="right" w:leader="dot" w:pos="9639"/>
        </w:tabs>
        <w:spacing w:after="120" w:line="240" w:lineRule="auto"/>
        <w:rPr>
          <w:rFonts w:ascii="Times New Roman" w:hAnsi="Times New Roman" w:cs="Times New Roman"/>
          <w:cap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aps/>
          <w:sz w:val="24"/>
          <w:szCs w:val="24"/>
          <w:lang w:val="bg-BG" w:eastAsia="bg-BG"/>
        </w:rPr>
        <w:fldChar w:fldCharType="end"/>
      </w:r>
    </w:p>
    <w:p w:rsidR="00C56790" w:rsidRPr="000C1188" w:rsidRDefault="00C56790" w:rsidP="00915E53">
      <w:pPr>
        <w:keepNext/>
        <w:pageBreakBefore/>
        <w:tabs>
          <w:tab w:val="num" w:pos="454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4" w:name="_Toc370402902"/>
      <w:bookmarkStart w:id="5" w:name="_Toc382332160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І. Мисия</w:t>
      </w:r>
      <w:bookmarkEnd w:id="4"/>
      <w:bookmarkEnd w:id="5"/>
    </w:p>
    <w:p w:rsidR="00C56790" w:rsidRPr="000C1188" w:rsidRDefault="00C56790" w:rsidP="00915E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bookmarkStart w:id="6" w:name="_Toc370402903"/>
      <w:r w:rsidRPr="000C118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Министерство на туризма ориентира дейността си към изпълнение на общия програмен приоритет на правителството на България за постигне устойчиво развитие на туризма. Мисията на Министерството на туризма е да води ясна и прозрачна туристическа политика, която защитава държавния и обществения интерес и е основана на европейските принципи. МТ ще работи за развитие на </w:t>
      </w:r>
      <w:proofErr w:type="spellStart"/>
      <w:r w:rsidRPr="000C1188">
        <w:rPr>
          <w:rFonts w:ascii="Times New Roman" w:hAnsi="Times New Roman" w:cs="Times New Roman"/>
          <w:color w:val="000000"/>
          <w:sz w:val="24"/>
          <w:szCs w:val="24"/>
          <w:lang w:val="bg-BG"/>
        </w:rPr>
        <w:t>диверсифициран</w:t>
      </w:r>
      <w:proofErr w:type="spellEnd"/>
      <w:r w:rsidRPr="000C118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туристически продукт, за установяване на България в добре позната и предпочитана целогодишна туристическа дестинация с ясно разпознаваема национална идентичност и съхранена култура и природа, заемаща водещо място сред петте топ дестинации в Централна и Източна Европа, за активизиране развитието на специализираните видове туризъм и повишаване на неговото качество и конкурентоспособност.</w:t>
      </w:r>
    </w:p>
    <w:p w:rsidR="00C56790" w:rsidRPr="000C1188" w:rsidRDefault="00C56790" w:rsidP="00915E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C118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Политиката на министерството е </w:t>
      </w:r>
      <w:r w:rsidRPr="000C11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"Устойчиво развитие на туризма</w:t>
      </w:r>
      <w:r w:rsidRPr="000C1188">
        <w:rPr>
          <w:rFonts w:ascii="Times New Roman" w:hAnsi="Times New Roman" w:cs="Times New Roman"/>
          <w:color w:val="000000"/>
          <w:sz w:val="24"/>
          <w:szCs w:val="24"/>
          <w:lang w:val="bg-BG"/>
        </w:rPr>
        <w:t>“, която включва осигуряване на облекчен достъп и оптимизирана система за привличане на чуждестранни туристи на територията на България и превръщане на културно-историческото наследство в част от инфраструктурата на туризма.</w:t>
      </w: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6790" w:rsidRPr="000C1188" w:rsidRDefault="00C56790" w:rsidP="00915E53">
      <w:pPr>
        <w:keepNext/>
        <w:pageBreakBefore/>
        <w:tabs>
          <w:tab w:val="num" w:pos="454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7" w:name="_Toc382332161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ІІ. организационно развитие и капацитет</w:t>
      </w:r>
      <w:bookmarkEnd w:id="6"/>
      <w:bookmarkEnd w:id="7"/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През периода 2015 – 2017 г. ще работим за устойчиво повишаване административния капацитет на администрацията, включително и чрез допълнително прецизиране и адаптиране на структурата и на функциите на администрацията и на административните структури към министъра на туризма, качествено обслужване на гражданите и бизнеса и създаване на устойчив икономически растеж и заетост.</w:t>
      </w:r>
    </w:p>
    <w:p w:rsidR="00C56790" w:rsidRPr="000C1188" w:rsidRDefault="00C56790" w:rsidP="00915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Прилагане на политика гарантираща наложените от нас принципи на икономическа логика и целесъобразност; яснота и прозрачност в туризма; защита на държавния и обществения интерес; стратегически подход при вземане на решения; публичност, откритост и диалог с бизнеса</w:t>
      </w: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, синдикатите, браншовите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неправителствените организации и медиите. Ще работим за подобряване мотивацията и развитието на човешките ресурси, наемането, задържането и развитието на служителите ключови за успеха на администрацията чрез въвеждане на добри практики в областта на управлението и развитието на човешките ресурси, вкл. чрез реализиране на проекти и други различни инициативи. Ще създадем механизми за насърчаване на служителите да развиват способностите си, да придобиват нови знания и умения. Ще насочим своите усилия за привличане на висококвалифицирани и образовани служители, които да изпълняват ефикасно функциите на министъра и на министерството и да допринесат за постигане на поставените цели. Ще управляваме изпълнението. Ще създадем условия за ефективно управление на изпълнението на ниво администрация, административно звено и отделен служител за постигане целите на министерството заложени в настоящия документ и в стратегическите документи в областта на туризма. Ще се стремим да обвържем възнагражденията с постиженията на служителите и техния индивидуален принос за изпълнение целите на администрацията, ще подобрим работните взаимоотношения водени от етичните правила и норми на поведение присъщи за държавната администрация. Ще прилагаме стратегията си за управление на риска и ще създадем механизми за мониторинг на дейностите при които е възможно нарушение на установените правила, процедури и законодателни положения.  </w:t>
      </w:r>
    </w:p>
    <w:p w:rsidR="00C56790" w:rsidRPr="000C1188" w:rsidRDefault="00C56790" w:rsidP="00915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Дейността на администрацията, на ръководителите и на служителите ще се осъществява при спазване на принципи: законност; откритост и достъпност; отговорност и отчетност; ефективност; субординация и координация;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предвидимост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; обективност и безпристрастност.</w:t>
      </w:r>
    </w:p>
    <w:p w:rsidR="00C56790" w:rsidRPr="000C1188" w:rsidRDefault="00C56790" w:rsidP="00915E53">
      <w:pPr>
        <w:keepNext/>
        <w:pageBreakBefore/>
        <w:tabs>
          <w:tab w:val="num" w:pos="454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8" w:name="_Toc382332164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ІІІ. ПОЛИТИКА В ОБЛАСТТА НА “УСТОЙЧИВОТО РАЗВИТИЕ НА ТУРИЗМА”</w:t>
      </w:r>
      <w:bookmarkEnd w:id="8"/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9" w:name="_Toc370402906"/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Визия за развитието на политиката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Визията на политиката за устойчиво развитие на туризма е България да бъде добре позната и предпочитана целогодишна туристическа дестинация с ясно разпознаваема национална идентичност и съхранена култура и природа, заемаща водещо място сред петте топ-дестинации в Централна и Източна Европа.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Политиката за устойчиво развитие на туризма, в пълен синхрон с политиката на правителството, е разработена в подкрепа запазването на икономическата стабилност и създаване на условия за устойчив икономически растеж. Тя е конкретно насочена към формулиране адекватни дейности по прилагане на държавната политика за развитието на сектор „Туризъм” и включване обществения контрол върху тяхното изпълнение. В тази връзка се предвижда участие на туристическите организации и други организации на неправителствения сектор в процеса на формулиране на секторните политики и консултации по изготвяне на законодателството, регулиращо отрасъла. 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Политиката за развитие на туризма включва облекчен достъп и оптимизирана система за привличане на чуждестранни туристи на територията на България и превръщане на подходящото културно-историческото наследство в част от инфраструктурата на туризма.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Предвид нуждите на отчетността и с цел подобряване на планирането и гъвкавостта на администрацията спрямо характера на туристическата услуга се планира създаване на система за стриктен контрол на качеството на предоставяните туристически услуги. В допълнение е предвидено 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Основен ангажимент на държавата е провеждане на национална реклама, съгласувана с браншовите организации и големите туроператори, работещи на целеви за България пазари. Комуникационната политика за позициониране и промоция на България като атрактивна туристическа дестинация ще бъде чрез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таргетирани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послания, насочени към целевите групи туристи.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Стимулира се развитието на специализирани видове туризъм – културен, здравен във всичките му форми (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балнео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СПА,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уелнес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медицински),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екотуризъм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селски туризъм и други специализирани сегменти на туризъм, придаващи висока добавена стойност на туристическите продукти. 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Политиката включва законодателни и други нормативни инициативи, както и конкретни мерки, финансирани от бюджета на МТ и от бюджетите на Оперативните програми и на други финансови инструменти на ЕС.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 областта на туризма ще се развие институционалната и законодателна рамка  регулираща отрасъла и съответстваща на значението му за националната икономика и насоките на ЕК за устойчиво развитие на туризма и туристическите дестинации. Ще бъдат предприети действия, гарантиращи устойчиво целогодишно развитие на туризма чрез диверсификация на националния туристически продукт, реализиране на мерки за повишаване на неговото качество и добавена стойност и стимулиране развитието на специализираните видове туризъм. В съответствие с тези мерки ще бъде провеждана маркетингова и рекламна политика на националния туристически продукт, която да подобри неговия имидж и позициониране на туристическия пазар.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>Стратегическа и оперативни цели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Стратегическа цел: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„Утвърждаване конкурентоспособността и ефективността на туристическия сектор на България посредством оптимално използване на наличните природни и антропогенни ресурси в съответствие с пазарните изискванията и потребителските очаквания за устойчиво развитие на туризма”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Оперативна цел: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„Утвърждаване на туризма, като ключов за икономиката отрасъл”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Полза/ефект за обществото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Очакваните ползи/ефекти от изпълнението на политиката, могат да бъдат обобщени до няколко направления – подобрено състояние на текущата сметка от платежния баланс; подобряване на баланса по статията услуги на платежния баланс. Ръстът на приходите от туризъм е пряко обвързан със създаването на по-високи нива на добавена стойност от икономиката, респективно реален растеж на БВП, като водят до подобряване на състоянието на платежния баланс, увеличаване на заетостта, понижаване на безработицата и индиректно подобряване на благосъстоянието на живот. Развитието на туризма като индустрия ще окаже допълнителен положителен ефект и върху цялостното регионално развитие, стимулирайки усвояването за туризма на нови региони от вътрешността на страната.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Взаимоотношения с други институции, допринасящи за изпълнение на политиката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Изпълнението на политиката се осъществява във взаимоотношение с МРРБ, МФ и др.</w:t>
      </w: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Показатели за полза/ефект и целеви стойности</w:t>
      </w:r>
    </w:p>
    <w:tbl>
      <w:tblPr>
        <w:tblW w:w="5391" w:type="dxa"/>
        <w:tblInd w:w="219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99"/>
        <w:gridCol w:w="992"/>
        <w:gridCol w:w="2400"/>
      </w:tblGrid>
      <w:tr w:rsidR="00E77F10" w:rsidRPr="004F5DB5" w:rsidTr="0073792D">
        <w:trPr>
          <w:trHeight w:val="420"/>
        </w:trPr>
        <w:tc>
          <w:tcPr>
            <w:tcW w:w="53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C99"/>
            <w:vAlign w:val="center"/>
          </w:tcPr>
          <w:p w:rsidR="00E77F10" w:rsidRPr="004F5DB5" w:rsidRDefault="00E77F10" w:rsidP="00E77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 И ЦЕЛЕВИ СТОЙНОСТИ</w:t>
            </w:r>
          </w:p>
        </w:tc>
      </w:tr>
      <w:tr w:rsidR="00E77F10" w:rsidRPr="004F5DB5" w:rsidTr="00E77F10">
        <w:trPr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Ползи/ефекти: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C99"/>
          </w:tcPr>
          <w:p w:rsidR="00E77F10" w:rsidRPr="004F5DB5" w:rsidRDefault="00E77F10" w:rsidP="00C278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E77F10" w:rsidRPr="004F5DB5" w:rsidTr="00E77F10">
        <w:trPr>
          <w:trHeight w:val="450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F10" w:rsidRPr="004F5DB5" w:rsidRDefault="00F44055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Бюджет</w:t>
            </w:r>
          </w:p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2015 г.</w:t>
            </w:r>
          </w:p>
        </w:tc>
      </w:tr>
      <w:tr w:rsidR="00E77F10" w:rsidRPr="004F5DB5" w:rsidTr="00E77F10">
        <w:trPr>
          <w:trHeight w:val="255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1. Ръст на броя на чуждестранни туристи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8E7049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E77F10"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% </w:t>
            </w:r>
          </w:p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спрямо 2014 г.</w:t>
            </w:r>
          </w:p>
        </w:tc>
      </w:tr>
      <w:tr w:rsidR="00E77F10" w:rsidRPr="004F5DB5" w:rsidTr="00E77F10">
        <w:trPr>
          <w:trHeight w:val="512"/>
        </w:trPr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2. Ръст на приходите от туризъм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  <w:r w:rsidR="008E7049"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% </w:t>
            </w:r>
          </w:p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спрямо 2014 г.</w:t>
            </w:r>
          </w:p>
        </w:tc>
      </w:tr>
    </w:tbl>
    <w:p w:rsidR="00C56790" w:rsidRPr="000C1188" w:rsidRDefault="00C56790" w:rsidP="00915E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:rsidR="00C56790" w:rsidRPr="000C1188" w:rsidRDefault="00C56790" w:rsidP="00915E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За определяне на целевите стойности е използвана информация на БНБ, МФ и НСИ.</w:t>
      </w:r>
    </w:p>
    <w:bookmarkEnd w:id="9"/>
    <w:p w:rsidR="00C56790" w:rsidRPr="000C1188" w:rsidRDefault="00C56790" w:rsidP="00915E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keepNext/>
        <w:pageBreakBefore/>
        <w:tabs>
          <w:tab w:val="num" w:pos="454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10" w:name="_Toc370402907"/>
      <w:bookmarkStart w:id="11" w:name="_Toc382332166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 xml:space="preserve">ІV. Основни параметри на бюджета за 2015 г. </w:t>
      </w:r>
      <w:bookmarkEnd w:id="10"/>
      <w:bookmarkEnd w:id="11"/>
    </w:p>
    <w:p w:rsidR="00C56790" w:rsidRPr="000C1188" w:rsidRDefault="00C56790" w:rsidP="00915E5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12" w:name="_Toc370402908"/>
    </w:p>
    <w:p w:rsidR="00C56790" w:rsidRPr="000C1188" w:rsidRDefault="00C56790" w:rsidP="00915E53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Описание на приходите</w:t>
      </w:r>
      <w:bookmarkEnd w:id="12"/>
    </w:p>
    <w:tbl>
      <w:tblPr>
        <w:tblW w:w="4455" w:type="dxa"/>
        <w:tblInd w:w="14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4"/>
        <w:gridCol w:w="1151"/>
      </w:tblGrid>
      <w:tr w:rsidR="00E77F10" w:rsidRPr="004F5DB5" w:rsidTr="00E77F10">
        <w:trPr>
          <w:trHeight w:val="675"/>
        </w:trPr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ПРИХОДИ </w:t>
            </w: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br/>
              <w:t>(в хил. лв.)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44055" w:rsidRPr="004F5DB5" w:rsidRDefault="00F44055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Бюджет</w:t>
            </w:r>
          </w:p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2015 г.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7F10" w:rsidRPr="004F5DB5" w:rsidRDefault="00E77F1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Общо приходи: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2 050.0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Данъчни приходи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Неданъчни приходи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2 050.0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Приходи и доходи от собственост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950.0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Държавни такси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1 100.0</w:t>
            </w:r>
          </w:p>
        </w:tc>
      </w:tr>
      <w:tr w:rsidR="00E77F10" w:rsidRPr="004F5DB5" w:rsidTr="00E77F10">
        <w:trPr>
          <w:trHeight w:val="255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Глоби, санкции и наказателни лихви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E77F10" w:rsidRPr="004F5DB5" w:rsidTr="00E77F10">
        <w:trPr>
          <w:trHeight w:val="366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Други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77F10" w:rsidRPr="004F5DB5" w:rsidRDefault="00E77F1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Описание на разходите</w:t>
      </w:r>
    </w:p>
    <w:tbl>
      <w:tblPr>
        <w:tblW w:w="1044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2410"/>
        <w:gridCol w:w="1134"/>
        <w:gridCol w:w="1276"/>
        <w:gridCol w:w="1134"/>
        <w:gridCol w:w="850"/>
        <w:gridCol w:w="709"/>
        <w:gridCol w:w="887"/>
        <w:gridCol w:w="898"/>
      </w:tblGrid>
      <w:tr w:rsidR="00C56790" w:rsidRPr="004F5DB5" w:rsidTr="000C1188">
        <w:trPr>
          <w:trHeight w:val="42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99"/>
          </w:tcPr>
          <w:tbl>
            <w:tblPr>
              <w:tblW w:w="1040" w:type="dxa"/>
              <w:tblInd w:w="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0"/>
            </w:tblGrid>
            <w:tr w:rsidR="00C56790" w:rsidRPr="004F5DB5">
              <w:trPr>
                <w:trHeight w:val="420"/>
              </w:trPr>
              <w:tc>
                <w:tcPr>
                  <w:tcW w:w="10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CC99"/>
                  <w:vAlign w:val="center"/>
                </w:tcPr>
                <w:p w:rsidR="00C56790" w:rsidRPr="004F5DB5" w:rsidRDefault="00C56790" w:rsidP="00915E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bg-BG" w:eastAsia="bg-BG"/>
                    </w:rPr>
                  </w:pPr>
                  <w:r w:rsidRPr="004F5DB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bg-BG" w:eastAsia="bg-BG"/>
                    </w:rPr>
                    <w:t>Код*</w:t>
                  </w:r>
                </w:p>
              </w:tc>
            </w:tr>
            <w:tr w:rsidR="00C56790" w:rsidRPr="004F5DB5">
              <w:trPr>
                <w:trHeight w:val="330"/>
              </w:trPr>
              <w:tc>
                <w:tcPr>
                  <w:tcW w:w="104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C56790" w:rsidRPr="004F5DB5" w:rsidRDefault="00C56790" w:rsidP="00915E5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bg-BG" w:eastAsia="bg-BG"/>
                    </w:rPr>
                  </w:pPr>
                </w:p>
              </w:tc>
            </w:tr>
          </w:tbl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</w:pPr>
          </w:p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bg-BG" w:eastAsia="ko-KR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ОБЛАСТИ НА ПОЛИТИКИ И БЮДЖЕТНИ ПРОГРАМИ</w:t>
            </w:r>
          </w:p>
          <w:p w:rsidR="00C56790" w:rsidRPr="004F5DB5" w:rsidRDefault="00C56790" w:rsidP="00F4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(</w:t>
            </w:r>
            <w:r w:rsidR="00F44055"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Бюджет</w:t>
            </w: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 xml:space="preserve"> за 2015 г.)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Общо разходи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Ведомствени разходи</w:t>
            </w:r>
          </w:p>
        </w:tc>
        <w:tc>
          <w:tcPr>
            <w:tcW w:w="24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Администрирани разходи</w:t>
            </w:r>
          </w:p>
        </w:tc>
      </w:tr>
      <w:tr w:rsidR="000C1188" w:rsidRPr="004F5DB5" w:rsidTr="000C1188">
        <w:trPr>
          <w:trHeight w:val="653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7100.00.00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b/>
                <w:bCs/>
                <w:color w:val="000000"/>
                <w:sz w:val="20"/>
                <w:szCs w:val="20"/>
                <w:lang w:val="bg-BG" w:eastAsia="ko-KR"/>
              </w:rPr>
              <w:t>(в хил. лв.)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bg-BG" w:eastAsia="ko-K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bg-BG" w:eastAsia="ko-KR"/>
              </w:rPr>
              <w:t>Общо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7836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i/>
                <w:iCs/>
                <w:color w:val="000000"/>
                <w:sz w:val="20"/>
                <w:szCs w:val="20"/>
                <w:lang w:val="bg-BG" w:eastAsia="ko-KR"/>
              </w:rPr>
              <w:t>По бюджета на ПРБ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i/>
                <w:iCs/>
                <w:color w:val="000000"/>
                <w:sz w:val="20"/>
                <w:szCs w:val="20"/>
                <w:lang w:val="bg-BG" w:eastAsia="ko-KR"/>
              </w:rPr>
              <w:t>По други бюджети и сметки за средства от ЕС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bg-BG" w:eastAsia="ko-KR"/>
              </w:rPr>
              <w:t>Общо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7836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i/>
                <w:iCs/>
                <w:color w:val="000000"/>
                <w:sz w:val="20"/>
                <w:szCs w:val="20"/>
                <w:lang w:val="bg-BG" w:eastAsia="ko-KR"/>
              </w:rPr>
              <w:t>По бюджета на ПРБ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eastAsia="Batang" w:hAnsi="Times New Roman" w:cs="Times New Roman"/>
                <w:i/>
                <w:iCs/>
                <w:color w:val="000000"/>
                <w:sz w:val="20"/>
                <w:szCs w:val="20"/>
                <w:lang w:val="bg-BG" w:eastAsia="ko-KR"/>
              </w:rPr>
              <w:t>По други бюджети и сметки за средства от ЕС</w:t>
            </w:r>
          </w:p>
        </w:tc>
      </w:tr>
      <w:tr w:rsidR="000C1188" w:rsidRPr="004F5DB5" w:rsidTr="000C1188">
        <w:trPr>
          <w:trHeight w:val="25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Общо разходи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B916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14 89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536A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14 89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762B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9 26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B916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</w:t>
            </w:r>
            <w:r w:rsidR="00F35D5E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627</w:t>
            </w:r>
            <w:r w:rsidR="00F35D5E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0C1188" w:rsidRPr="004F5DB5" w:rsidTr="000C1188">
        <w:trPr>
          <w:trHeight w:val="255"/>
        </w:trPr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56790" w:rsidRPr="004F5DB5" w:rsidRDefault="00C5679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7100.01.00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56790" w:rsidRPr="004F5DB5" w:rsidRDefault="00C56790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Политика в областта на устойчивото развитие на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bottom w:w="0" w:type="dxa"/>
            </w:tcMar>
            <w:vAlign w:val="center"/>
          </w:tcPr>
          <w:p w:rsidR="00C56790" w:rsidRPr="004F5DB5" w:rsidRDefault="00C56790" w:rsidP="00B916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14 39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7B7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14 39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1E6F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8 76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</w:t>
            </w:r>
            <w:r w:rsidR="00F35D5E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 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627</w:t>
            </w:r>
            <w:r w:rsidR="00F35D5E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</w:tr>
      <w:tr w:rsidR="000C1188" w:rsidRPr="004F5DB5" w:rsidTr="000C1188">
        <w:trPr>
          <w:trHeight w:val="463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7100.01.01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4F5DB5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 xml:space="preserve">Бюджетна програма  „Подобряване на политиките и регулациите в сектора на туризма”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0" w:type="dxa"/>
            </w:tcMar>
            <w:vAlign w:val="center"/>
          </w:tcPr>
          <w:p w:rsidR="00C56790" w:rsidRPr="004F5DB5" w:rsidRDefault="00052A41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8 999.2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C56790" w:rsidRPr="004F5DB5" w:rsidRDefault="00052A41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8 999.2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 w:eastAsia="bg-BG"/>
              </w:rPr>
            </w:pPr>
          </w:p>
          <w:p w:rsidR="00C56790" w:rsidRPr="004F5DB5" w:rsidRDefault="00052A4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3 372.2</w:t>
            </w:r>
          </w:p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5</w:t>
            </w:r>
            <w:r w:rsidR="00F35D5E"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 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627</w:t>
            </w:r>
            <w:r w:rsidR="00F35D5E"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</w:tr>
      <w:tr w:rsidR="000C1188" w:rsidRPr="004F5DB5" w:rsidTr="000C1188">
        <w:trPr>
          <w:trHeight w:val="25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7100.01.02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4F5DB5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 xml:space="preserve">Бюджетна програма „Развитие на националната туристическа реклама и международно сътрудничество в областта на  туризма”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0" w:type="dxa"/>
            </w:tcMar>
            <w:vAlign w:val="center"/>
          </w:tcPr>
          <w:p w:rsidR="00C56790" w:rsidRPr="00943B14" w:rsidRDefault="00052A41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5 392.</w:t>
            </w:r>
            <w:r w:rsidR="0094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:rsidR="00C56790" w:rsidRPr="00943B14" w:rsidRDefault="00052A41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5 392.</w:t>
            </w:r>
            <w:r w:rsidR="00943B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943B14" w:rsidRDefault="00052A41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5 392.</w:t>
            </w:r>
            <w:r w:rsidR="00943B14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052A4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</w:tr>
      <w:tr w:rsidR="000C1188" w:rsidRPr="004F5DB5" w:rsidTr="000C1188">
        <w:trPr>
          <w:trHeight w:val="31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6790" w:rsidRPr="004F5DB5" w:rsidRDefault="00C56790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7100.02.00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Бюджетна програма "Администрация"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3306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500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3306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500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500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6790" w:rsidRPr="004F5DB5" w:rsidRDefault="00C56790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0</w:t>
            </w:r>
          </w:p>
        </w:tc>
      </w:tr>
    </w:tbl>
    <w:p w:rsidR="00C56790" w:rsidRPr="004F5DB5" w:rsidRDefault="00C56790" w:rsidP="00915E53">
      <w:pPr>
        <w:tabs>
          <w:tab w:val="left" w:pos="2668"/>
          <w:tab w:val="left" w:pos="3500"/>
          <w:tab w:val="left" w:pos="4202"/>
          <w:tab w:val="left" w:pos="5339"/>
          <w:tab w:val="left" w:pos="6694"/>
          <w:tab w:val="left" w:pos="7404"/>
          <w:tab w:val="left" w:pos="841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bg-BG" w:eastAsia="bg-BG"/>
        </w:rPr>
      </w:pPr>
    </w:p>
    <w:p w:rsidR="00C56790" w:rsidRPr="004F5DB5" w:rsidRDefault="00C56790" w:rsidP="00915E53">
      <w:pPr>
        <w:tabs>
          <w:tab w:val="left" w:pos="2668"/>
          <w:tab w:val="left" w:pos="3500"/>
          <w:tab w:val="left" w:pos="4202"/>
          <w:tab w:val="left" w:pos="5339"/>
          <w:tab w:val="left" w:pos="6694"/>
          <w:tab w:val="left" w:pos="7404"/>
          <w:tab w:val="left" w:pos="841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bg-BG" w:eastAsia="bg-BG"/>
        </w:rPr>
      </w:pPr>
    </w:p>
    <w:p w:rsidR="00C56790" w:rsidRPr="000C1188" w:rsidRDefault="00C56790" w:rsidP="00915E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6790" w:rsidRPr="000C1188" w:rsidRDefault="00C56790" w:rsidP="006916F3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bookmarkStart w:id="13" w:name="_Toc370402909"/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>Описание на източниците на финансиране</w:t>
      </w:r>
      <w:bookmarkEnd w:id="13"/>
    </w:p>
    <w:tbl>
      <w:tblPr>
        <w:tblW w:w="5044" w:type="dxa"/>
        <w:tblInd w:w="21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4"/>
        <w:gridCol w:w="1040"/>
      </w:tblGrid>
      <w:tr w:rsidR="00A159F6" w:rsidRPr="004F5DB5" w:rsidTr="00A159F6">
        <w:trPr>
          <w:trHeight w:val="675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159F6" w:rsidRPr="004F5DB5" w:rsidRDefault="00A159F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Източници на финансиране на консолидираните разходи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(хил. лв.)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A159F6" w:rsidRPr="004F5DB5" w:rsidRDefault="00F44055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Бюджет</w:t>
            </w:r>
            <w:r w:rsidR="00A159F6"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2015 г.</w:t>
            </w:r>
          </w:p>
        </w:tc>
      </w:tr>
      <w:tr w:rsidR="00A159F6" w:rsidRPr="004F5DB5" w:rsidTr="00A159F6">
        <w:trPr>
          <w:trHeight w:val="70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9F6" w:rsidRPr="004F5DB5" w:rsidRDefault="00A159F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9F6" w:rsidRPr="004F5DB5" w:rsidRDefault="00A159F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 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Общо разходи: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14 891.9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Общо разчетено финансиране: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14 891.9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  По бюджета на ПРБ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9 264.9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  По други бюджети и сметки за средства от ЕС, в т.ч. от: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EA76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5 </w:t>
            </w:r>
            <w:r w:rsidR="00EA766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62</w:t>
            </w: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Централния бюджет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Държавни инвестиционни заеми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Сметки за средства от ЕС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EA76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5 </w:t>
            </w:r>
            <w:r w:rsidR="00EA766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62</w:t>
            </w: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7.0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Други програми и инициативи, по които Република България е страна-партньор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Други програми и други донори по бюджета на ПРБ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A159F6" w:rsidRPr="004F5DB5" w:rsidTr="00A159F6">
        <w:trPr>
          <w:trHeight w:val="255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 xml:space="preserve">Други бюджетни организации, включени в </w:t>
            </w:r>
            <w:proofErr w:type="spellStart"/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консолдираната</w:t>
            </w:r>
            <w:proofErr w:type="spellEnd"/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 xml:space="preserve"> фискална програма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  <w:tr w:rsidR="00A159F6" w:rsidRPr="004F5DB5" w:rsidTr="00A159F6">
        <w:trPr>
          <w:trHeight w:val="219"/>
        </w:trPr>
        <w:tc>
          <w:tcPr>
            <w:tcW w:w="4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·  </w:t>
            </w:r>
            <w:r w:rsidRPr="004F5D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bg-BG" w:eastAsia="bg-BG"/>
              </w:rPr>
              <w:t>Други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9F6" w:rsidRPr="004F5DB5" w:rsidRDefault="00A159F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 </w:t>
            </w:r>
          </w:p>
        </w:tc>
      </w:tr>
    </w:tbl>
    <w:p w:rsidR="00C56790" w:rsidRPr="000C1188" w:rsidRDefault="00C56790" w:rsidP="00915E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E54067">
      <w:pPr>
        <w:keepNext/>
        <w:pageBreakBefore/>
        <w:tabs>
          <w:tab w:val="num" w:pos="454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14" w:name="_Toc370402910"/>
      <w:bookmarkStart w:id="15" w:name="_Toc382332167"/>
      <w:bookmarkStart w:id="16" w:name="_Toc370402923"/>
      <w:bookmarkStart w:id="17" w:name="_Toc382332179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eastAsia="bg-BG"/>
        </w:rPr>
        <w:lastRenderedPageBreak/>
        <w:t>V</w:t>
      </w:r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ru-RU" w:eastAsia="bg-BG"/>
        </w:rPr>
        <w:t xml:space="preserve">. </w:t>
      </w:r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бюджет по програми</w:t>
      </w:r>
      <w:bookmarkEnd w:id="14"/>
      <w:bookmarkEnd w:id="15"/>
    </w:p>
    <w:p w:rsidR="00C56790" w:rsidRPr="000C1188" w:rsidRDefault="00C56790" w:rsidP="00213446">
      <w:pPr>
        <w:keepNext/>
        <w:spacing w:after="12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t>БЮДЖЕТНА ПРОГРАМА – 7100.01.01 „ПОДОБРЯВАНЕНА ПОЛИТИКИТЕ И РЕГУЛАЦИИТЕ В СЕКТОРА НА ТУРИЗМА”</w:t>
      </w:r>
      <w:bookmarkEnd w:id="16"/>
      <w:bookmarkEnd w:id="17"/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Приоритетните цели на програмата ще бъдат съобразени с основни цели на провежданата правителствена политика в областта на туризма за създаване на условия за неговото развитие като приоритетен отрасъл за страната, а именно:</w:t>
      </w:r>
    </w:p>
    <w:p w:rsidR="00C56790" w:rsidRPr="000C1188" w:rsidRDefault="009E760D" w:rsidP="0014748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редприемане на конкретни мерки и действия, гарантиращи устойчиво целогодишно развитие на туризма чрез диверсификация на националния туристически продукт и стимулиране развитието на специализираните видове туризъм. Актуализиране, съвместно с бизнеса на  дългосрочната стратегия за устойчиво развитие на отрасъла и разработване на План за привеждането й в действие;</w:t>
      </w:r>
    </w:p>
    <w:p w:rsidR="00C56790" w:rsidRPr="000C1188" w:rsidRDefault="009E760D" w:rsidP="00147486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еализиране на мерки за повишаване на неговото качество и добавена стойност. Създаване или актуализиране на законовата и подзаконовата нормативна база в диалог с неправителствените организации в туризма с цел намаляване на административната тежест (при необходимост) и непрекъснато гарантиране правата и сигурността на потребителите и на качеството на предлаганите туристически продукти и услуги. </w:t>
      </w:r>
    </w:p>
    <w:p w:rsidR="00C56790" w:rsidRPr="000C1188" w:rsidRDefault="00C56790" w:rsidP="00147486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Диверсификация на националния туристически продукт, чрез развитие на интегрирани и специфични туристически продукти за различните категории туристи, изхождащи от естествените приоритети на България; насърчаване предоставянето на качествени услуги и защита правата и сигурността на потребителите.</w:t>
      </w:r>
    </w:p>
    <w:p w:rsidR="00C56790" w:rsidRPr="000C1188" w:rsidRDefault="00C56790" w:rsidP="00147486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Постигане на ефективна координация между институциите и интегриране на туризма в свързаните с него секторни политики. Взаимодействие с туристическия бизнес;</w:t>
      </w:r>
    </w:p>
    <w:p w:rsidR="00C56790" w:rsidRPr="000C1188" w:rsidRDefault="00C56790" w:rsidP="00147486">
      <w:pPr>
        <w:numPr>
          <w:ilvl w:val="0"/>
          <w:numId w:val="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Създаване на система за ефективен контрол на качеството на предоставяните туристически услуги. 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Главна дирекция „Туристическа политика” и Дирекция „Проекти и програми в туризма“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Директорите на Главна дирекция „Туристическа политика” и дирекция „Проекти и програми в туризма“</w:t>
      </w: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6916F3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</w:pPr>
    </w:p>
    <w:p w:rsidR="00C56790" w:rsidRPr="000C1188" w:rsidRDefault="006916F3" w:rsidP="006916F3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lastRenderedPageBreak/>
        <w:t xml:space="preserve">            </w:t>
      </w:r>
      <w:r w:rsidR="00C56790"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Целеви стойности по показателите за изпълнение</w:t>
      </w:r>
    </w:p>
    <w:tbl>
      <w:tblPr>
        <w:tblW w:w="6453" w:type="dxa"/>
        <w:tblInd w:w="3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8"/>
        <w:gridCol w:w="1025"/>
        <w:gridCol w:w="278"/>
        <w:gridCol w:w="279"/>
        <w:gridCol w:w="279"/>
        <w:gridCol w:w="324"/>
      </w:tblGrid>
      <w:tr w:rsidR="00150178" w:rsidRPr="004F5DB5" w:rsidTr="00150178">
        <w:trPr>
          <w:trHeight w:val="52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 xml:space="preserve">ПОКАЗАТЕЛИТЕ ЗА ИЗПЪЛНЕНИЕ 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Бюджетна програма –7100.01.01 „Подобряване на политиките и</w:t>
            </w:r>
          </w:p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регулациите в сектора на туризма”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</w:tr>
      <w:tr w:rsidR="00150178" w:rsidRPr="004F5DB5" w:rsidTr="00150178">
        <w:trPr>
          <w:trHeight w:val="45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50178" w:rsidRPr="004F5DB5" w:rsidRDefault="00F44055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Бюджет</w:t>
            </w:r>
            <w:r w:rsidR="00150178"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2015 г.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tabs>
                <w:tab w:val="left" w:pos="2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1.Приети програми и планове за действие за специализирани видове туризъм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2.Реализирани проекти по ОПРР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3.Категоризирани туристически обекти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1010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4.Регистрирани туроператори и туристически агенти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250</w:t>
            </w:r>
          </w:p>
        </w:tc>
      </w:tr>
      <w:tr w:rsidR="00150178" w:rsidRPr="004F5DB5" w:rsidTr="00F44055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5.Приети законови и подзаконови нормативни актове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12</w:t>
            </w:r>
          </w:p>
        </w:tc>
      </w:tr>
      <w:tr w:rsidR="00150178" w:rsidRPr="004F5DB5" w:rsidTr="00F44055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6.Приети стратегически и оперативни програми за развитие на туризма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F3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7.Изготвена рамкова програма за БФП на М</w:t>
            </w:r>
            <w:r w:rsidR="00F35D5E"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</w:t>
            </w: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като конкретен бенефициент по оперативна програма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8.Разработени  проектни фишове за програмен период 2014-2020г.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4</w:t>
            </w:r>
          </w:p>
        </w:tc>
      </w:tr>
      <w:tr w:rsidR="00150178" w:rsidRPr="004F5DB5" w:rsidTr="00150178">
        <w:trPr>
          <w:trHeight w:val="25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9.Реализирани проекти и инициативи за международно и регионално сътрудничество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10.Вписани туристически сдружения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10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11.Вписани ОУТР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12.Вписани туристически информационни центрове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30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13.Вписани правоспособни екскурзоводи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200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14.Вписани правоспособни ски учители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200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15.Вписани правоспособни планински водачи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50</w:t>
            </w:r>
          </w:p>
        </w:tc>
      </w:tr>
      <w:tr w:rsidR="00150178" w:rsidRPr="004F5DB5" w:rsidTr="00150178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16.Сертифицирани </w:t>
            </w:r>
            <w:proofErr w:type="spellStart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балнеолечебни</w:t>
            </w:r>
            <w:proofErr w:type="spellEnd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(</w:t>
            </w:r>
            <w:proofErr w:type="spellStart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медикъл</w:t>
            </w:r>
            <w:proofErr w:type="spellEnd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СПА), </w:t>
            </w:r>
            <w:proofErr w:type="spellStart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СПА</w:t>
            </w:r>
            <w:proofErr w:type="spellEnd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, </w:t>
            </w:r>
            <w:proofErr w:type="spellStart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уелнес</w:t>
            </w:r>
            <w:proofErr w:type="spellEnd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и </w:t>
            </w:r>
            <w:proofErr w:type="spellStart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таласотерапевтични</w:t>
            </w:r>
            <w:proofErr w:type="spellEnd"/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 центрове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178" w:rsidRPr="004F5DB5" w:rsidRDefault="00150178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250</w:t>
            </w:r>
          </w:p>
        </w:tc>
      </w:tr>
    </w:tbl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Външни фактори, които могат да окажат въздействие върху постигането на целите на програмата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Бавно възстановяване на европейските и балкански пазари;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Развитие на конкурентните дестинации;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Липса на инвестиционен интерес от стратегически инвеститори;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Непълноценно оползотворяване на природните и антропогенни ресурси;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Влошаване параметрите на околната среда;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Нарушаване на принципите на устойчиво развитие – безотговорно използване на природните и антропогенните ресурси, замърсяване на околна среда в туристическите курорти и селища;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Структурни промени в администрацията;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Отрицателно влияние на форсмажорни обстоятелства като природни бедствия и други;</w:t>
      </w:r>
    </w:p>
    <w:p w:rsidR="00C56790" w:rsidRPr="000C1188" w:rsidRDefault="00C56790" w:rsidP="00150178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Липса на адекватното паралелно развитие на човешките ресурси и повишаване квалификацията на кадрите.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lastRenderedPageBreak/>
        <w:t>Информация за наличността и качеството на данните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Държавен вестник, официалната интернет страница на МТ, Проектна документация на проекти по Оперативни програми, Национален туристически регистър.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Предоставяни по програмата продукти/услуги (ведомствени разходни параграфи)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1. Оптимизиране на модела за планиране и управление на туристическото развитие на България с оглед постигане на висок и устойчив икономически растеж.</w:t>
      </w:r>
    </w:p>
    <w:p w:rsidR="00C56790" w:rsidRPr="000C1188" w:rsidRDefault="00C56790" w:rsidP="00E430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Осигуряване на нормативна уредба, благоприятстваща туристическото развитие, вкл. подобряване функционирането и управлението на националните курорти;</w:t>
      </w:r>
    </w:p>
    <w:p w:rsidR="00C56790" w:rsidRPr="000C1188" w:rsidRDefault="00C56790" w:rsidP="00E430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Стратегическо и оперативно планиране на туристическото развитие на национално и регионално ниво;</w:t>
      </w:r>
    </w:p>
    <w:p w:rsidR="00C56790" w:rsidRPr="000C1188" w:rsidRDefault="00C56790" w:rsidP="00E430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Въвеждане и прилагане на туристическото райониране и взаимодействие с организациите за управление на туристическите райони;</w:t>
      </w:r>
    </w:p>
    <w:p w:rsidR="00C56790" w:rsidRPr="000C1188" w:rsidRDefault="00C56790" w:rsidP="00E430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Ефективна координация между институциите и интегриране на туризма в свързаните с него секторни политики;</w:t>
      </w:r>
    </w:p>
    <w:p w:rsidR="00C56790" w:rsidRPr="000C1188" w:rsidRDefault="00C56790" w:rsidP="00E430A7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Взаимодействие с туристическия бизнес.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2. Позициониране на България, като туристическа дестинация в по-висок клас на световния туристически пазар като качество и добавена стойност, чрез реализиране на дейности по изпълнение на проекти с външно финансиране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:</w:t>
      </w:r>
    </w:p>
    <w:p w:rsidR="00C56790" w:rsidRPr="000C1188" w:rsidRDefault="00C56790" w:rsidP="00896981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Разработване, изпълнение, мониторинг, контрол и докладване по проекти към оперативните програми, изпълнявани от МТ като конкретен бенефициент;</w:t>
      </w:r>
    </w:p>
    <w:p w:rsidR="00C56790" w:rsidRPr="000C1188" w:rsidRDefault="00C56790" w:rsidP="00896981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Участие в комисии/работни групи/съвещателни и консултативни органи по ОП "Региони в растеж" и по други оперативни програми, имащи отношение към туризма;</w:t>
      </w:r>
    </w:p>
    <w:p w:rsidR="00C56790" w:rsidRPr="000C1188" w:rsidRDefault="00C56790" w:rsidP="00896981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Разработване, изпълнение, мониторинг, контрол и докладване по проекти и програми, финансирани от други донори.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3. Подобряване на рамковите условия за стимулиране качеството на туристическия продукт, защитата на потребителите на туристически услуги и намаляване на клиентския риск на българските и чуждестранни потребители на националния туристически продукт. Мониторинг върху качеството на услугите в туристическите обекти и туристическия продукт, предлаган от България като туристическа дестинация, чрез системата за регистриране, категоризиране, сертифициране и вписване.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Осъществяване на процедурите по категоризиране и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прекатегоризиране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туристическите обекти в компетенциите на министерството;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Осъществяване на процедурите по регистрация на туроператорите и туристическите агенти;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Осъществяване на процедурите по вписване на организациите за управление на туристическите райони, туристическите сдружения, туристическите информационни центрове, на правоспособните екскурзоводи, планински водачи и ски учители;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Осъществяване на процедурите по сертифициране на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балнеолечебни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(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медикъл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СПА),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СПА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уелнес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таласотерапевтични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центрове (прилежащи към места за настаняване и самостоятелни центрове);  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Актуализиране и поддържане на Националния туристически регистър чрез събиране, обработване, съхраняване и предоставяне на информацията по чл. 166, ал. 1, т. 9 от Закона за туризма. Разработване въвеждането на единна информационна платформа за комуникация по защитени канали между вписаните в националния туристически регистър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лица и заинтересованите такива от централни и териториални органи на изпълнителната власт. Създаване и поддържане на регистър на туристическите атракции;</w:t>
      </w:r>
    </w:p>
    <w:p w:rsidR="00C56790" w:rsidRPr="000C1188" w:rsidRDefault="00C56790" w:rsidP="00896981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Създаване на специализирано звено за набиране, обработване и анализиране на статистически данни за развитието на туризма в страната и друга информация за развитието на търсенето и предлагането в страни - основни пазари за националния туристически продукт, в регионален, европейски и световен мащаб; организиране и анализиране проучвания в туризма и изготвяне на прогнози за развитието на бранша като цяло и на отделни видове туризъм;</w:t>
      </w:r>
    </w:p>
    <w:p w:rsidR="00C56790" w:rsidRPr="000C1188" w:rsidRDefault="00C56790" w:rsidP="00915E5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4. Провеждане на целенасочени и периодични маркетингови проучвания и анализи на туристическите пазари, потребности и тенденции: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:rsidR="00C56790" w:rsidRPr="000C1188" w:rsidRDefault="00C56790" w:rsidP="00E83D81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Събиране, обработване, съхраняване и представяне на статистически данни за туризма:</w:t>
      </w:r>
    </w:p>
    <w:p w:rsidR="00C56790" w:rsidRPr="000C1188" w:rsidRDefault="00C56790" w:rsidP="00E83D81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Ежемесечна обработка на данните получавани от Националния статистически институт и от Българска народна банка;</w:t>
      </w:r>
    </w:p>
    <w:p w:rsidR="00C56790" w:rsidRPr="000C1188" w:rsidRDefault="00C56790" w:rsidP="00E83D81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Ежемесечни комюникета за развитието на международния туризъм в България;</w:t>
      </w:r>
    </w:p>
    <w:p w:rsidR="00C56790" w:rsidRPr="000C1188" w:rsidRDefault="00C56790" w:rsidP="00E83D81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Ежемесечно въвеждане на данни в системата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TourMIS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към ЕТК;</w:t>
      </w:r>
    </w:p>
    <w:p w:rsidR="00C56790" w:rsidRPr="006916F3" w:rsidRDefault="00C56790" w:rsidP="006916F3">
      <w:pPr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Маркетингови проучвания на основни и перспективни пазари, анализ на целеви групи, заетостта на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легловата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база,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бенчмаркинг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6916F3" w:rsidP="006916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Бюджет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r w:rsidR="00C56790"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по ведомствени и администрирани параграфи на програмата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W w:w="6386" w:type="dxa"/>
        <w:tblInd w:w="1660" w:type="dxa"/>
        <w:tblLook w:val="00A0" w:firstRow="1" w:lastRow="0" w:firstColumn="1" w:lastColumn="0" w:noHBand="0" w:noVBand="0"/>
      </w:tblPr>
      <w:tblGrid>
        <w:gridCol w:w="500"/>
        <w:gridCol w:w="4817"/>
        <w:gridCol w:w="1069"/>
      </w:tblGrid>
      <w:tr w:rsidR="00A635B1" w:rsidRPr="004F5DB5" w:rsidTr="00D2134E">
        <w:trPr>
          <w:trHeight w:val="31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Бюджетна програма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A635B1" w:rsidRPr="004F5DB5" w:rsidRDefault="00F44055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</w:t>
            </w:r>
          </w:p>
        </w:tc>
      </w:tr>
      <w:tr w:rsidR="00A635B1" w:rsidRPr="004F5DB5" w:rsidTr="00D2134E">
        <w:trPr>
          <w:trHeight w:val="31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7100.01.01 – „Подобряване на политиките и регулациите в сектора на туризма”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2015 г.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(класификационен код и наименование на бюджетната програма)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35B1" w:rsidRPr="004F5DB5" w:rsidRDefault="00A635B1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ведомствени разходи: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BD5059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8 999.2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BD5059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522.2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BD5059" w:rsidP="007379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8 117.0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BD5059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бюджета на ПРБ: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3 372.2</w:t>
            </w:r>
          </w:p>
        </w:tc>
      </w:tr>
      <w:tr w:rsidR="00BD5059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943B1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522.2</w:t>
            </w:r>
          </w:p>
        </w:tc>
      </w:tr>
      <w:tr w:rsidR="00BD5059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BD5059" w:rsidRPr="004F5DB5" w:rsidRDefault="00BD5059" w:rsidP="007379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2 850.0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7379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5</w:t>
            </w:r>
            <w:r w:rsidR="00BD5059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627</w:t>
            </w:r>
            <w:r w:rsidR="00BD5059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7379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  <w:r w:rsidR="00BD5059"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627</w:t>
            </w:r>
            <w:r w:rsidR="00BD5059"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От тях за: *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1.ОП Регионално развитие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73792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  <w:r w:rsidR="00BD5059"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627</w:t>
            </w:r>
            <w:r w:rsidR="00BD5059"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2…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 xml:space="preserve">Администрирани разходни параграфи 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**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бюджета на ПРБ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администрирани разходи (ІІ.+ІІІ.):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по бюджета (І.1+ІІ.):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BD5059" w:rsidP="00D213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94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372.2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(І.+ІІ.+ІІІ.):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A635B1" w:rsidRPr="004F5DB5" w:rsidRDefault="00BD5059" w:rsidP="00D213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8 999.2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щатния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BD50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  <w:r w:rsidR="00BD5059"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635B1" w:rsidRPr="004F5DB5" w:rsidTr="00D2134E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извънщатния персонал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635B1" w:rsidRPr="004F5DB5" w:rsidRDefault="00A635B1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</w:tbl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* </w:t>
      </w:r>
      <w:proofErr w:type="spellStart"/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Разшифровка</w:t>
      </w:r>
      <w:proofErr w:type="spellEnd"/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 xml:space="preserve"> на ведомствените разходи по други бюджети, фондове и сметки по програмата според целта, основанието/характера им и източника на финансиране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2.1 Оперативна програма "Регионално развитие",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операция 3.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3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."Национален туристически маркетинг" за проекти: "Маркетингови проучвания, анализи и методики и оценка на ефективността на националния маркетинг, изготвяне и актуализиране на стратегии"</w:t>
      </w: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;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"Комуникационна кампания за насърчаване на вътрешния туризъм в Република България";"Провеждане на целогодишна рекламна кампания на България по водещи паневропейски телевизионни канали"; "Интегрирани комуникационни кампании за България на целеви пазари"; "Участие на България на специализирани борси и изложения и организиране на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опознавателни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турове за туроператори и туристически агенции"; "Укрепване капацитета на МИЕТ като конкретен бенефициент по схема за предоставяне на безвъзмездна финансова помощ BG161РО001/3.3-01/2008 "Подкрепа за ефективен национален маркетинг на туристическия продукт и подобряване на информационното обслужване </w:t>
      </w:r>
    </w:p>
    <w:p w:rsidR="00C56790" w:rsidRPr="000C1188" w:rsidRDefault="00C56790" w:rsidP="00915E53">
      <w:pPr>
        <w:keepNext/>
        <w:pageBreakBefore/>
        <w:spacing w:after="120" w:line="240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18" w:name="_Toc370402924"/>
      <w:bookmarkStart w:id="19" w:name="_Toc382332180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БЮДЖЕТНА ПРОГРАМА – 7100.01.02 "РАЗВИТИЕ НА НАЦИОНАЛНАТА ТУРИСТИЧЕСКА РЕКЛАМА И МЕЖДУНАРОДНО СЪТРУДНИЧЕСТВО В ОБЛАСТТА НА ТУРИЗМА"</w:t>
      </w:r>
      <w:bookmarkEnd w:id="18"/>
      <w:bookmarkEnd w:id="19"/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</w:t>
      </w:r>
    </w:p>
    <w:p w:rsidR="00B914DB" w:rsidRDefault="00B914DB" w:rsidP="00B914DB">
      <w:pPr>
        <w:widowControl w:val="0"/>
        <w:tabs>
          <w:tab w:val="num" w:pos="7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B914DB">
      <w:pPr>
        <w:widowControl w:val="0"/>
        <w:tabs>
          <w:tab w:val="num" w:pos="720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Изграждане на позитивно отношение към страната сред целевите групи;</w:t>
      </w:r>
    </w:p>
    <w:p w:rsidR="00C56790" w:rsidRPr="000C1188" w:rsidRDefault="00C56790" w:rsidP="00D31C8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num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Повишаване степента на информираност за България като страна с богати възможности за лятна и зимна почивка, с древна култура, богата на исторически и архитектурни паметници, с минерални източници и красива и съхранена природа, като дестинация, предлагаща сигурност и спокойствие на своите гости;</w:t>
      </w:r>
    </w:p>
    <w:p w:rsidR="00C56790" w:rsidRPr="000C1188" w:rsidRDefault="00C56790" w:rsidP="00D31C8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Осъществяване на ефективен национален маркетинг за позициониране и промоция на България като целогодишна туристическа дестинация, съгласуван с браншовите организации и големите туроператори, работещи на целеви пазари за България чрез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таргетирани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послания на различните пазари, насочени към целевите групи;</w:t>
      </w:r>
    </w:p>
    <w:p w:rsidR="00C56790" w:rsidRPr="000C1188" w:rsidRDefault="00C56790" w:rsidP="00D31C8B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Сътрудничество на  Република България с международните органи и организации в областта на туризма </w:t>
      </w:r>
    </w:p>
    <w:p w:rsidR="00C56790" w:rsidRPr="000C1188" w:rsidRDefault="00C56790" w:rsidP="00D31C8B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Активна работа на място на националните туристически представителства на България на основни целеви пазари съвместно с държавни институции, мисии и посолства зад граница и неправителствени организации</w:t>
      </w:r>
    </w:p>
    <w:p w:rsidR="00C56790" w:rsidRPr="000C1188" w:rsidRDefault="00C56790" w:rsidP="00915E53">
      <w:pPr>
        <w:widowControl w:val="0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Дирекция "Маркетинг, реклама и информация в туризма" </w:t>
      </w:r>
      <w:r w:rsidR="00F35D5E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дирекция „</w:t>
      </w:r>
      <w:r w:rsidR="00F35D5E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М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еждународно сътрудничество и инвестиции в областта на туризма“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Директорът на дирекция "Маркетинг, реклама и информация в туризма" и дирек</w:t>
      </w:r>
      <w:r w:rsidR="00F35D5E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торът на дирекция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„Международно сътрудничество и инвестиции в областта на туризма“</w:t>
      </w:r>
    </w:p>
    <w:p w:rsidR="00C56790" w:rsidRPr="000C1188" w:rsidRDefault="00C56790" w:rsidP="00915E5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Целеви стойности по показателите за изпълнение</w:t>
      </w:r>
    </w:p>
    <w:tbl>
      <w:tblPr>
        <w:tblW w:w="5819" w:type="dxa"/>
        <w:tblInd w:w="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1132"/>
        <w:gridCol w:w="1132"/>
      </w:tblGrid>
      <w:tr w:rsidR="00D31C8B" w:rsidRPr="000C1188" w:rsidTr="00D31C8B">
        <w:trPr>
          <w:trHeight w:val="525"/>
        </w:trPr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ПОКАЗАТЕЛИТЕ ЗА ИЗПЪЛНЕНИЕ</w:t>
            </w:r>
          </w:p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Бюджетна програма - 7100.01.02 "Развитие на националната туристическа реклама и международно сътрудничество в областта на туризма"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Целева стойност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</w:p>
        </w:tc>
      </w:tr>
      <w:tr w:rsidR="00D31C8B" w:rsidRPr="000C1188" w:rsidTr="00D31C8B">
        <w:trPr>
          <w:trHeight w:val="45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Показатели за изпълнение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 w:eastAsia="bg-BG"/>
              </w:rPr>
              <w:t>Мерна единица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D31C8B" w:rsidRPr="004F5DB5" w:rsidRDefault="00AF78A2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>Бюджет</w:t>
            </w:r>
            <w:r w:rsidR="00D31C8B" w:rsidRPr="004F5DB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bg-BG" w:eastAsia="bg-BG"/>
              </w:rPr>
              <w:t xml:space="preserve"> 2015 г.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1. Организиране на участие с рекламни щандове на международни и национални туристически изложения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D31C8B"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2. Осъществяване на комуникационни кампании на целеви пазари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3.Реализирани журналистически турове в България и позитивни публикации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 посещения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</w:t>
            </w:r>
            <w:r w:rsidR="0073792D"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0</w:t>
            </w:r>
          </w:p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4. Акции по насърчаване на продажбите с големи чуждестранни </w:t>
            </w: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lastRenderedPageBreak/>
              <w:t>туроператори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lastRenderedPageBreak/>
              <w:t>5. Посетителите на официалния туристически сайт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="00D31C8B"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0 % спрямо 2014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tabs>
                <w:tab w:val="left" w:pos="2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6.Анализи на външни пазари по страни, изготвени от туристическите представителства за нуждите на бизнеса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widowControl w:val="0"/>
              <w:tabs>
                <w:tab w:val="left" w:pos="2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7.Проведени сесии на междуправителствени комисии и работни групи в областта на туризма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widowControl w:val="0"/>
              <w:tabs>
                <w:tab w:val="left" w:pos="44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 xml:space="preserve">8. Организирани туристически форуми  в чужбина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3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widowControl w:val="0"/>
              <w:tabs>
                <w:tab w:val="left" w:pos="441"/>
              </w:tabs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9. Организирани презентации за България в чужбина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D31C8B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C8B" w:rsidRPr="004F5DB5" w:rsidRDefault="0073792D" w:rsidP="0091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19.Изпълнени дейности по координацията на Приоритетна област 3 на Стратегията на ЕС за Дунавския регион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</w:t>
            </w:r>
          </w:p>
        </w:tc>
      </w:tr>
      <w:tr w:rsidR="00D31C8B" w:rsidRPr="000C1188" w:rsidTr="00D31C8B">
        <w:trPr>
          <w:trHeight w:val="2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20.Изпълнени дейности по споразумението с GIZ "Контактен център дестинация Дунав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Бр.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1C8B" w:rsidRPr="004F5DB5" w:rsidRDefault="00D31C8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4F5DB5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22</w:t>
            </w:r>
          </w:p>
        </w:tc>
      </w:tr>
    </w:tbl>
    <w:p w:rsidR="00C56790" w:rsidRPr="000C1188" w:rsidRDefault="00C56790" w:rsidP="00915E53">
      <w:pPr>
        <w:spacing w:after="0" w:line="240" w:lineRule="auto"/>
        <w:ind w:left="1482" w:hanging="1482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Външни фактори, които могат да окажат въздействие върху постигането на целите на програмата</w:t>
      </w:r>
    </w:p>
    <w:p w:rsidR="00C56790" w:rsidRPr="000C1188" w:rsidRDefault="00C56790" w:rsidP="00D31C8B">
      <w:pPr>
        <w:numPr>
          <w:ilvl w:val="0"/>
          <w:numId w:val="2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Забавяне на възстановяването от икономическата криза на основни целеви за България пазари, което би довело до намаляване на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туристопотока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до по-кратък престой и намаляване на приходите. При по-продължителни негативни тенденции може да доведе до загуба на работни места в отрасъла, финансови затруднения  на туристическите фирми, фалити на компании и затваряне на хотели; </w:t>
      </w:r>
    </w:p>
    <w:p w:rsidR="00C56790" w:rsidRPr="000C1188" w:rsidRDefault="00C56790" w:rsidP="00D31C8B">
      <w:pPr>
        <w:numPr>
          <w:ilvl w:val="0"/>
          <w:numId w:val="2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Повишаване цените на предлаганите туристически услуги или на свързани продукти или услуги /напр. електроенергия, горива/, водещо до загуба на едно от най-силните конкурентни предимства на България, а именно доброто съотношение цена – качество;</w:t>
      </w:r>
    </w:p>
    <w:p w:rsidR="00C56790" w:rsidRPr="000C1188" w:rsidRDefault="00C56790" w:rsidP="00D31C8B">
      <w:pPr>
        <w:numPr>
          <w:ilvl w:val="0"/>
          <w:numId w:val="2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Въздействие на кампании, насочени към масовия туризъм от страна на конкурентни дестинации и съответно до пренасочване на записвания към конкурентите и загуба на пазарни позиции и намаляване на приходите от туризъм.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Анализите са извършени на база окончателни годишни  данни от НСИ и БНБ. Прогнозите са извършени на база световните тенденции по доклади на Европейската туристическа комисия и Световната организация по туризъм към ООН.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Предоставяни по програмата продукти/услуги (ведомствени разходни параграфи)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1. Експониране на българския туристически продукт чрез участие с национални и информационни щандове на международни туристически борси и туристически изложения в България:</w:t>
      </w:r>
    </w:p>
    <w:p w:rsidR="00C56790" w:rsidRPr="000C1188" w:rsidRDefault="00C56790" w:rsidP="00D31C8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:rsidR="00C56790" w:rsidRPr="000C1188" w:rsidRDefault="00C56790" w:rsidP="00D31C8B">
      <w:pPr>
        <w:widowControl w:val="0"/>
        <w:numPr>
          <w:ilvl w:val="0"/>
          <w:numId w:val="3"/>
        </w:numPr>
        <w:tabs>
          <w:tab w:val="left" w:pos="7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Участия на над </w:t>
      </w:r>
      <w:r w:rsidR="0073792D" w:rsidRPr="000C1188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5 международни туристически и специализирани изложения на </w:t>
      </w: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 xml:space="preserve">основни и перспективни пазари, с цел </w:t>
      </w:r>
      <w:proofErr w:type="spellStart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имиджово</w:t>
      </w:r>
      <w:proofErr w:type="spellEnd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представяне на страната, повишаване информираността на посетителите относно разнообразните възможности за туризъм, осъществяване на контакти с чуждестранни туроператори и агенции за включване на България в програмите им за 2015/2017 г. или за тяхното обогатяване. Представянето ще се осъществява на регионален / продуктов принцип в зависимост от предлагането на </w:t>
      </w:r>
      <w:proofErr w:type="spellStart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съизложителите</w:t>
      </w:r>
      <w:proofErr w:type="spellEnd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– туристически фирми, организации и общински администрации, заявили участие на българските щандове.</w:t>
      </w:r>
    </w:p>
    <w:p w:rsidR="00C56790" w:rsidRPr="000C1188" w:rsidRDefault="00C56790" w:rsidP="00D31C8B">
      <w:pPr>
        <w:widowControl w:val="0"/>
        <w:numPr>
          <w:ilvl w:val="0"/>
          <w:numId w:val="3"/>
        </w:numPr>
        <w:tabs>
          <w:tab w:val="left" w:pos="78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Участия на над 5 национални туристически форуми – общи и със специализиран характер, както и организиране на паралелна програма – дискусионна, презентации и съпътстваща реклама.</w:t>
      </w:r>
    </w:p>
    <w:p w:rsidR="00C56790" w:rsidRPr="000C1188" w:rsidRDefault="00C56790" w:rsidP="00915E53">
      <w:pPr>
        <w:widowControl w:val="0"/>
        <w:tabs>
          <w:tab w:val="left" w:pos="78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2. Осъществяване на комуникационни кампании на основни целеви пазари с цел утвърждаване на позитивния имидж на България като дестинация и насърчаване на избора й от целевите групи: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3. Популяризиране на специализирани видове туризъм,  включително чрез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р</w:t>
      </w: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азработването на електронни тематични туристически маршрути: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:rsidR="00C56790" w:rsidRPr="000C1188" w:rsidRDefault="000B2540" w:rsidP="00D31C8B">
      <w:pPr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П</w:t>
      </w:r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редставяне на специализирани форми на туризъм – културно-познавателен, </w:t>
      </w:r>
      <w:proofErr w:type="spellStart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еко-</w:t>
      </w:r>
      <w:proofErr w:type="spellEnd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, </w:t>
      </w:r>
      <w:proofErr w:type="spellStart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балнео</w:t>
      </w:r>
      <w:proofErr w:type="spellEnd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- и спа туризъм, </w:t>
      </w:r>
      <w:proofErr w:type="spellStart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гурме-туризъм</w:t>
      </w:r>
      <w:proofErr w:type="spellEnd"/>
      <w:r w:rsidR="00C56790"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и винарски турове, спортен, конгресен и др. и разнообразяване на традиционните масови продукти с цел утвърждаване на България като туристическа дестинация на четирите сезона. Осъществяване на презентации, семинари, изложби, 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гостуващи тематични фестивали, над 1</w:t>
      </w:r>
      <w:r w:rsidR="0073792D" w:rsidRPr="000C118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посещения на чуждестранни журналисти, снимачни екипи за заснемане на филми и предавания за забележителностите в България, организиране на специални групи от </w:t>
      </w:r>
      <w:proofErr w:type="spellStart"/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блогъри</w:t>
      </w:r>
      <w:proofErr w:type="spellEnd"/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;</w:t>
      </w:r>
    </w:p>
    <w:p w:rsidR="00C56790" w:rsidRPr="000C1188" w:rsidRDefault="00C56790" w:rsidP="00D31C8B">
      <w:pPr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Активно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маркетиране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официалния туристически портал  </w:t>
      </w:r>
      <w:hyperlink r:id="rId9" w:history="1">
        <w:r w:rsidRPr="000C1188">
          <w:rPr>
            <w:rFonts w:ascii="Times New Roman" w:hAnsi="Times New Roman" w:cs="Times New Roman"/>
            <w:color w:val="000000"/>
            <w:sz w:val="24"/>
            <w:szCs w:val="24"/>
            <w:lang w:val="bg-BG" w:eastAsia="bg-BG"/>
          </w:rPr>
          <w:t>www.bulgariatravel.org</w:t>
        </w:r>
      </w:hyperlink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, както и неговото доразвиване с над две допълнителни езикови версии, разработване на електронни материали: електронни досиета и визуализации за туристически атракции и обекти, туристически маршрути и др.. Ще бъдат произведени интерактивни продукти и карти, рекламни клипове и филми, включване на  нови обекти и маршрути, мултимедийни презентации и видеоматериали.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4. Представяне на продукти или услуги пред чуждестранни туроператори и туристически агенти: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</w:t>
      </w:r>
    </w:p>
    <w:p w:rsidR="00C56790" w:rsidRPr="000C1188" w:rsidRDefault="00C56790" w:rsidP="00D31C8B">
      <w:pPr>
        <w:widowControl w:val="0"/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Акции по насърчаване на продажбите съвместно с водещи туроператори на целеви пазари, съвместни участия в презентации, е-маркетинг и организиране на </w:t>
      </w:r>
      <w:proofErr w:type="spellStart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>експедиентски</w:t>
      </w:r>
      <w:proofErr w:type="spellEnd"/>
      <w:r w:rsidRPr="000C1188">
        <w:rPr>
          <w:rFonts w:ascii="Times New Roman" w:hAnsi="Times New Roman" w:cs="Times New Roman"/>
          <w:color w:val="000000"/>
          <w:sz w:val="24"/>
          <w:szCs w:val="24"/>
          <w:lang w:val="bg-BG" w:eastAsia="bg-BG"/>
        </w:rPr>
        <w:t xml:space="preserve"> турове.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Планирани са съвместни акции с чуждестранните туроператори в Германия, Великобритания, Русия, Централна Европа и Скандинавските страни.</w:t>
      </w:r>
    </w:p>
    <w:p w:rsidR="00C56790" w:rsidRPr="000C1188" w:rsidRDefault="00C56790" w:rsidP="00915E5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5. Събиране, обработване, оформяне и предоставяне на необходима информация за обслужване на индивидуални чуждестранни и български туристи от Национален туристически информационен център на министерството.</w:t>
      </w:r>
    </w:p>
    <w:p w:rsidR="00C56790" w:rsidRPr="000C1188" w:rsidRDefault="00C56790" w:rsidP="0043287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6.  Международно  сътрудничество в областта на туризма: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продукта/услугата: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Cs/>
          <w:sz w:val="24"/>
          <w:szCs w:val="24"/>
          <w:lang w:val="bg-BG" w:eastAsia="bg-BG"/>
        </w:rPr>
        <w:t>Провеждане на двустранни посещения и срещи на държавно и правителствено равнище в областта на туризма и подготвя</w:t>
      </w:r>
      <w:r w:rsidR="0073792D" w:rsidRPr="000C1188">
        <w:rPr>
          <w:rFonts w:ascii="Times New Roman" w:hAnsi="Times New Roman" w:cs="Times New Roman"/>
          <w:iCs/>
          <w:sz w:val="24"/>
          <w:szCs w:val="24"/>
          <w:lang w:val="bg-BG" w:eastAsia="bg-BG"/>
        </w:rPr>
        <w:t>не</w:t>
      </w:r>
      <w:r w:rsidRPr="000C1188">
        <w:rPr>
          <w:rFonts w:ascii="Times New Roman" w:hAnsi="Times New Roman" w:cs="Times New Roman"/>
          <w:iCs/>
          <w:sz w:val="24"/>
          <w:szCs w:val="24"/>
          <w:lang w:val="bg-BG" w:eastAsia="bg-BG"/>
        </w:rPr>
        <w:t xml:space="preserve"> позиции по въпросите на туристическото</w:t>
      </w:r>
      <w:r w:rsidR="00277C20" w:rsidRPr="000C1188">
        <w:rPr>
          <w:rFonts w:ascii="Times New Roman" w:hAnsi="Times New Roman" w:cs="Times New Roman"/>
          <w:iCs/>
          <w:sz w:val="24"/>
          <w:szCs w:val="24"/>
          <w:lang w:eastAsia="bg-BG"/>
        </w:rPr>
        <w:t xml:space="preserve"> </w:t>
      </w:r>
      <w:r w:rsidRPr="000C1188">
        <w:rPr>
          <w:rFonts w:ascii="Times New Roman" w:hAnsi="Times New Roman" w:cs="Times New Roman"/>
          <w:iCs/>
          <w:sz w:val="24"/>
          <w:szCs w:val="24"/>
          <w:lang w:val="bg-BG" w:eastAsia="bg-BG"/>
        </w:rPr>
        <w:t>сътрудничество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есии на двустранни междуправителствени комисии за  сътрудничество в сферата на туризма и заседанията на други форми на двустранно  сътрудничество в областта на туризма; осигурява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текущата работа и координира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изпълнението на 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поставените задачи, съвместно с Министерството на външните работи и другите заинтересувани ведомства при подготовка и провеждане на сесиите и заседанията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Съгласуване и подписване на споразумения и меморандуми;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частие в Консултативния комитет по въпросите на туризма към Европейската комисия (ЕК) и в други консултативни органи в сферата на международния туризъм; 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Подпомагане участието на Постоянното представителство на Република България в ЕК в работни групи, свързани със законодателство в областта на туризма и развитието на туризма;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Изготвяне на годишния доклад до ЕК за състоянието на туризма в страната (законодателна рамка и реформи, данъчна политика, други);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оординиране дейността свързана с членството на Република България в ЕК в сферата на туризма (контакт с ротационни председатели, подготовка на ротационното председателство на страната, други)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Провеждане на срещи и инициативи от страна на туристическите представителства в приемащата страна за разширяване на институционалните контакти, идентифициране на нови сфери на сътрудничество и създаване на условия и предпоставки за разширяване на бизнес контактите;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сигуряване функциите  по осъществяването на междудържавното сътрудничество в туризма и изпълнението на двустранните спогодби;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оординиране дейността по участието на Република България в международни инициативи с туристическа насоченост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осъществява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оперативното ръководство на дейността на туристическите представителства и туристическите </w:t>
      </w:r>
      <w:proofErr w:type="spellStart"/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съветници</w:t>
      </w:r>
      <w:proofErr w:type="spellEnd"/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към задграничните представителства на Република България в отделните страни, съгласува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плановете им за работа и конкретните им задачи по провеждането на външната туристическа политика на страната;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съществяване на  контакти и обмен на информация със съответните служби в държавни институции и организации и други в съответните страни по въпроси на външната туристическа политика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,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като информира Министерството на външните работи и другите заинтересувани министерства и ведомства;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оординиране дейността с други ведомства по разработването на мерки за облекчаване на формалностите по пристигането и пребиваването на чуждестранни туристи в Република България и по гарантирането на тяхната сигурност; 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оординиране с други администрации мерки за гарантиране сигурността на българските туристи при пътуване зад граница;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одпомагане на  Главна дирекция "Туристическа политика" при изпълнението на инициативи в областта на по-доброто регулиране на туристическите дейности и услуги,и при хармонизирането на нормативна база съобразно европейското законодателство;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одпомагане дейностите по привличане на инвестиции в областта на туризма;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одпомагане  и изпълняване на  задачи, свързани с участието на Република България в органите по управление на Световната организация по туризъм (СОТ) и други международни организации, както и участ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със свои представители в работата на комисии 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 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работни групи по сътрудничество в туризма към СОТ и други международни организации;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зготвяне, съгласувано с Главна дирекция „Туристическа политика“, на позиции пред Централната европейска инициатива и участ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със свои представители в работни групи към нея във връзка с изготвяне на политики и инструменти на международно ниво;</w:t>
      </w:r>
    </w:p>
    <w:p w:rsidR="00C56790" w:rsidRPr="000C1188" w:rsidRDefault="000B254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Н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асърчава</w:t>
      </w:r>
      <w:r w:rsidR="0073792D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участието на неправителствения  туристически сектор в международни браншови и продуктови организации;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Осъществява</w:t>
      </w:r>
      <w:r w:rsidR="009E2C37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дейностите по координацията на Приоритетна област 3 на Стратегията на Европейския съюз за Дунавския регион;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Подпомагане представянето на Република България в международни форуми от високо равнище и насърчава</w:t>
      </w:r>
      <w:r w:rsidR="009E2C37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не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партньорствата с държавни,</w:t>
      </w:r>
      <w:r w:rsidR="000B254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регионални и местни институции от дунавските страни;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Подпомагане работата на другите дирекции на министерството при разработване и съгласуване на програми и инструменти за финансиране на регионално равнище;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Изготвяне на  предложения за развиване на партньорски мрежи в Дунавския регион;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847192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оординиране дейността и взаимодейств</w:t>
      </w:r>
      <w:r w:rsidR="009E2C37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ие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 Българската агенция за инвестиции при представянето и рекламата в чужбина на възможностите за инвестиране в областта на туризма в страната;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Координиране на Приоритетна област 3 "Насърчаване на културата, туризма и контактите между хората" на Стратегията на ЕС за Дунавския регион;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Участие в работата на международни туристически организации и смесени комисии, в т.ч. Световната организация по туризъм към ООН, Европейската комисия, Европейската туристическа комисия,  Централно - Европейската комисия, Организацията за Черноморско икономическо сътрудничество и др.;</w:t>
      </w:r>
    </w:p>
    <w:p w:rsidR="00C56790" w:rsidRPr="000C1188" w:rsidRDefault="00C56790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Двустранно и многостранно сътрудничество, в т.ч. участие/подготовка участието в смесени комисии, съдействие по прилагане на ангажименти  по подписани двустранни правителствени споразумения;</w:t>
      </w:r>
    </w:p>
    <w:p w:rsidR="00C56790" w:rsidRPr="000C1188" w:rsidRDefault="00847192" w:rsidP="00277C20">
      <w:pPr>
        <w:numPr>
          <w:ilvl w:val="0"/>
          <w:numId w:val="6"/>
        </w:numPr>
        <w:tabs>
          <w:tab w:val="clear" w:pos="360"/>
          <w:tab w:val="num" w:pos="9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</w:t>
      </w:r>
      <w:r w:rsidR="00C56790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абота по оформянето и въвеждането на трансгранични и международни туристически продукти.</w:t>
      </w:r>
    </w:p>
    <w:p w:rsidR="00C56790" w:rsidRPr="00711AAE" w:rsidRDefault="00C56790" w:rsidP="00711A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20" w:name="BM21"/>
      <w:bookmarkEnd w:id="20"/>
    </w:p>
    <w:p w:rsidR="00C56790" w:rsidRPr="000C1188" w:rsidRDefault="00C56790" w:rsidP="003332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Бюджет по ведомствени и администрирани параграфи на програмата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W w:w="6116" w:type="dxa"/>
        <w:tblInd w:w="1190" w:type="dxa"/>
        <w:tblLook w:val="00A0" w:firstRow="1" w:lastRow="0" w:firstColumn="1" w:lastColumn="0" w:noHBand="0" w:noVBand="0"/>
      </w:tblPr>
      <w:tblGrid>
        <w:gridCol w:w="500"/>
        <w:gridCol w:w="4817"/>
        <w:gridCol w:w="935"/>
      </w:tblGrid>
      <w:tr w:rsidR="00C046A6" w:rsidRPr="000C1188" w:rsidTr="00F003DB">
        <w:trPr>
          <w:trHeight w:val="31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Бюджетна програма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C046A6" w:rsidRPr="004F5DB5" w:rsidRDefault="00AF78A2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</w:t>
            </w:r>
          </w:p>
        </w:tc>
      </w:tr>
      <w:tr w:rsidR="00C046A6" w:rsidRPr="000C1188" w:rsidTr="00F003DB">
        <w:trPr>
          <w:trHeight w:val="31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7100.01.02– „Развитие на националната туристическа реклама и международно сътрудничество в областта на туризма”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2015 г.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(класификационен код и наименование на бюджетната програма)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46A6" w:rsidRPr="004F5DB5" w:rsidRDefault="00C046A6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ведомствени разходи: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5 392.</w:t>
            </w:r>
            <w:r w:rsidR="00F3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311.</w:t>
            </w:r>
            <w:r w:rsidR="00F3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E2C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5 081.2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бюджета на ПРБ: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5 392.</w:t>
            </w:r>
            <w:r w:rsidR="00F3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311.</w:t>
            </w:r>
            <w:r w:rsidR="00F341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E2C3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5 081.2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От тях за: *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 xml:space="preserve">Администрирани разходни параграфи 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бюджета на ПРБ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администрирани разходи (ІІ.+ІІІ.):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по бюджета (І.1+ІІ.):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5 392.</w:t>
            </w:r>
            <w:r w:rsidR="00F3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(І.+ІІ.+ІІІ.):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C046A6" w:rsidRPr="004F5DB5" w:rsidRDefault="00C046A6" w:rsidP="00F341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5 392.</w:t>
            </w:r>
            <w:r w:rsidR="00F341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щатния персонал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C046A6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извънщатния персонал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046A6" w:rsidRPr="004F5DB5" w:rsidRDefault="00C046A6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</w:tbl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 xml:space="preserve">* </w:t>
      </w:r>
      <w:proofErr w:type="spellStart"/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Разшифровка</w:t>
      </w:r>
      <w:proofErr w:type="spellEnd"/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на ведомствените разходи по други бюджети, фондове и сметки по програмата според целта, основанието/характера им и източника на финансиране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sz w:val="24"/>
          <w:szCs w:val="24"/>
          <w:lang w:val="bg-BG" w:eastAsia="bg-BG"/>
        </w:rPr>
        <w:t>**</w:t>
      </w: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 xml:space="preserve"> Описание на администрираните разходни параграфи по програмата, вкл. проектите</w:t>
      </w:r>
    </w:p>
    <w:p w:rsidR="00C56790" w:rsidRPr="000C1188" w:rsidRDefault="00C56790" w:rsidP="00915E53">
      <w:pPr>
        <w:keepNext/>
        <w:pageBreakBefore/>
        <w:spacing w:after="120" w:line="240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</w:pPr>
      <w:bookmarkStart w:id="21" w:name="_Toc382332185"/>
      <w:r w:rsidRPr="000C1188">
        <w:rPr>
          <w:rFonts w:ascii="Times New Roman" w:hAnsi="Times New Roman" w:cs="Times New Roman"/>
          <w:b/>
          <w:bCs/>
          <w:caps/>
          <w:sz w:val="24"/>
          <w:szCs w:val="24"/>
          <w:lang w:val="bg-BG" w:eastAsia="bg-BG"/>
        </w:rPr>
        <w:lastRenderedPageBreak/>
        <w:t>БЮДЖЕТНА ПРОГРАМА – 7100.02.00  "АДМИНИСТРАЦИЯ"</w:t>
      </w:r>
      <w:bookmarkEnd w:id="21"/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Цели на бюджетната програма</w:t>
      </w:r>
    </w:p>
    <w:p w:rsidR="00C56790" w:rsidRPr="000C1188" w:rsidRDefault="00C56790" w:rsidP="00915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Основна цел на програмата е подобряване държавното управление в областта на туризма  и повишаване професионалните умения на администрацията </w:t>
      </w:r>
    </w:p>
    <w:p w:rsidR="00C56790" w:rsidRPr="000C1188" w:rsidRDefault="00C56790" w:rsidP="00915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Организационни структури, участващи в програмата</w:t>
      </w: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Дирекциите от общата администрация и административни структури и служители на пряко подчинение на министъра на туризма.</w:t>
      </w: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Отговорност за изпълнението на програмата</w:t>
      </w: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Директорите на Дирекциите от общата администрация и ръководителите на административни структури на пряко подчинение на министъра на туризма, както и служители на пряко подчинение на министъра на туризма.</w:t>
      </w:r>
    </w:p>
    <w:p w:rsidR="00C56790" w:rsidRPr="000C1188" w:rsidRDefault="00C56790" w:rsidP="0091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Външни фактори, които могат да окажат въздействие върху постигането на целите на програмата</w:t>
      </w:r>
    </w:p>
    <w:p w:rsidR="00C56790" w:rsidRPr="000C1188" w:rsidRDefault="00C56790" w:rsidP="00AE12B2">
      <w:pPr>
        <w:numPr>
          <w:ilvl w:val="1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Забавяне изпълнението поради  възникване на нови нормативни задължения и необходимост от координация с други ведомства и/или юридически лица; </w:t>
      </w:r>
    </w:p>
    <w:p w:rsidR="00C56790" w:rsidRPr="000C1188" w:rsidRDefault="00C56790" w:rsidP="00AE12B2">
      <w:pPr>
        <w:numPr>
          <w:ilvl w:val="1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Недостиг на финансови средства не позволяващи на практика да се приложат всички нормативни изисквания за осъществяване дейностите; </w:t>
      </w:r>
    </w:p>
    <w:p w:rsidR="00C56790" w:rsidRPr="000C1188" w:rsidRDefault="00C56790" w:rsidP="00AE12B2">
      <w:pPr>
        <w:numPr>
          <w:ilvl w:val="1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Забавяне задълженията  поради сложност на нормативната уредба; </w:t>
      </w:r>
    </w:p>
    <w:p w:rsidR="00C56790" w:rsidRPr="000C1188" w:rsidRDefault="00C56790" w:rsidP="00AE12B2">
      <w:pPr>
        <w:numPr>
          <w:ilvl w:val="1"/>
          <w:numId w:val="1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Забавяне на средства и ограничения във времето за подготовка и провеждане  на процедура и сключване на договори</w:t>
      </w:r>
      <w:r w:rsidR="00847192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Информация за наличността и качеството на данните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изготвяне на </w:t>
      </w:r>
      <w:r w:rsidR="00847192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бюджета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е използвана информация от годишните финансови и програмни отчети на МИЕ, в ресор туризъм</w:t>
      </w:r>
      <w:r w:rsidR="00847192" w:rsidRPr="000C1188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Предоставяни по програмата продукти/услуги (ведомствени разходни параграфи)</w:t>
      </w:r>
    </w:p>
    <w:p w:rsidR="00C56790" w:rsidRPr="000C1188" w:rsidRDefault="00C56790" w:rsidP="00915E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В тази програма се изпълняват дейностите, които подпомагат изпълнението на останалите програми за постигането на стратегическите цели на МТ. Тъй като дейностите обслужват предоставянето на услугите, формиращи програмите,</w:t>
      </w:r>
      <w:r w:rsidR="00AA73C5"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разходите за тях са изведени в самостоятелна Програма "Администрация".</w:t>
      </w:r>
    </w:p>
    <w:p w:rsidR="00C56790" w:rsidRPr="000C1188" w:rsidRDefault="00C56790" w:rsidP="00915E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Дейности за предоставяне на продукта/услугата: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Участие в разработването и съгласуването на проекти на нормативни актове;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Процесуално представителство на министерството пред съдилищата;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Разработване на проектобюджет на министерството в програмен формат и по Единна бюджетна класификация;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Отчет на изпълнението на бюджета и на сметките за средства от Европейския съюз;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Счетоводно и касово отчитане, изготвяне на оборотни ведомости и годишен счетоводен отчет;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Деловодно обслужване и опазване на класифицираната информация;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Програмно и техническо осигуряване на администрацията на МТ;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Материално-техническо снабдяване и транспортното обслужване;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Административно обслужване на юридически и физически лица на "едно гише";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lastRenderedPageBreak/>
        <w:t>Протоколна дейност на министерството и организиране на дейности;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Управление и организационно развитие на човешките ресурси;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Спазване на изискванията на Закона за защита на класифицираната информация и други нормативни актове, регламентиращи защитата на класифицираната информация;</w:t>
      </w:r>
    </w:p>
    <w:p w:rsidR="00C56790" w:rsidRPr="000C1188" w:rsidRDefault="00C56790" w:rsidP="00F003DB">
      <w:pPr>
        <w:numPr>
          <w:ilvl w:val="0"/>
          <w:numId w:val="7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Изпълнение на конкретни </w:t>
      </w:r>
      <w:proofErr w:type="spellStart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одитни</w:t>
      </w:r>
      <w:proofErr w:type="spellEnd"/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ангажименти за даване на увереност или консултиране.</w:t>
      </w:r>
    </w:p>
    <w:p w:rsidR="00C56790" w:rsidRPr="000C1188" w:rsidRDefault="00C56790" w:rsidP="00915E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bg-BG" w:eastAsia="bg-BG"/>
        </w:rPr>
      </w:pPr>
    </w:p>
    <w:p w:rsidR="00C56790" w:rsidRPr="000C1188" w:rsidRDefault="00C56790" w:rsidP="00915E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bg-BG" w:eastAsia="bg-BG"/>
        </w:rPr>
      </w:pPr>
    </w:p>
    <w:p w:rsidR="00C56790" w:rsidRPr="000C1188" w:rsidRDefault="00C56790" w:rsidP="0033323A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Бюджет по ведомствени и администрирани параграфи на програмата</w:t>
      </w:r>
    </w:p>
    <w:tbl>
      <w:tblPr>
        <w:tblW w:w="6111" w:type="dxa"/>
        <w:tblInd w:w="1177" w:type="dxa"/>
        <w:tblLook w:val="00A0" w:firstRow="1" w:lastRow="0" w:firstColumn="1" w:lastColumn="0" w:noHBand="0" w:noVBand="0"/>
      </w:tblPr>
      <w:tblGrid>
        <w:gridCol w:w="500"/>
        <w:gridCol w:w="4817"/>
        <w:gridCol w:w="935"/>
      </w:tblGrid>
      <w:tr w:rsidR="00F003DB" w:rsidRPr="000C1188" w:rsidTr="00F003DB">
        <w:trPr>
          <w:trHeight w:val="315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№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Бюджетна програма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F003DB" w:rsidRPr="004F5DB5" w:rsidRDefault="00AF78A2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Бюджет</w:t>
            </w:r>
          </w:p>
        </w:tc>
      </w:tr>
      <w:tr w:rsidR="00F003DB" w:rsidRPr="000C1188" w:rsidTr="00F003DB">
        <w:trPr>
          <w:trHeight w:val="31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7100.02.00 – „Администрация”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2015 г.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(класификационен код и наименование на бюджетната програма)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03DB" w:rsidRPr="004F5DB5" w:rsidRDefault="00F003DB" w:rsidP="00915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ведомствени разходи: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500</w:t>
            </w:r>
            <w:r w:rsidR="00847192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500</w:t>
            </w:r>
            <w:r w:rsidR="00847192"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бюджета на ПРБ: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500</w:t>
            </w:r>
            <w:r w:rsidR="00847192"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500</w:t>
            </w:r>
            <w:r w:rsidR="00847192"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EA7669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Ведомствени разходи по други бюджети и сметки за средства от 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Издръжка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300" w:firstLine="6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  Капиталови разходи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От тях за: *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bg-BG"/>
              </w:rPr>
              <w:t xml:space="preserve">Администрирани разходни параграфи </w:t>
            </w: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бюджета на ПРБ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lastRenderedPageBreak/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ІІІ.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Администрирани разходни параграфи по други бюджети и сметки за средства от 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4F5DB5">
            <w:pPr>
              <w:spacing w:after="0" w:line="240" w:lineRule="auto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администрирани разходи (ІІ.+ІІІ.):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по бюджета (І.1+ІІ.):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367444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500</w:t>
            </w:r>
            <w:r w:rsidR="003674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Общо разходи (І.+ІІ.+ІІІ.):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noWrap/>
            <w:vAlign w:val="center"/>
          </w:tcPr>
          <w:p w:rsidR="00F003DB" w:rsidRPr="00367444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500</w:t>
            </w:r>
            <w:r w:rsidR="003674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щатния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F003DB" w:rsidRPr="000C1188" w:rsidTr="00F003DB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Численост на извънщатния персонал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003DB" w:rsidRPr="004F5DB5" w:rsidRDefault="00F003DB" w:rsidP="00915E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F5DB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 </w:t>
            </w:r>
          </w:p>
        </w:tc>
      </w:tr>
    </w:tbl>
    <w:p w:rsidR="00711AAE" w:rsidRDefault="00711AAE" w:rsidP="009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* </w:t>
      </w:r>
      <w:proofErr w:type="spellStart"/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>Разшифровка</w:t>
      </w:r>
      <w:proofErr w:type="spellEnd"/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 xml:space="preserve"> на ведомствените разходи по други бюджети, фондове и сметки по програмата според целта, основанието/характера им и източника на финансиране</w:t>
      </w:r>
    </w:p>
    <w:p w:rsidR="00C56790" w:rsidRPr="000C1188" w:rsidRDefault="00C56790" w:rsidP="00915E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 w:eastAsia="bg-BG"/>
        </w:rPr>
        <w:t>**</w:t>
      </w:r>
      <w:r w:rsidRPr="000C1188">
        <w:rPr>
          <w:rFonts w:ascii="Times New Roman" w:hAnsi="Times New Roman" w:cs="Times New Roman"/>
          <w:i/>
          <w:iCs/>
          <w:sz w:val="24"/>
          <w:szCs w:val="24"/>
          <w:lang w:val="bg-BG" w:eastAsia="bg-BG"/>
        </w:rPr>
        <w:t xml:space="preserve"> Описание на администрираните разходни параграфи по програмата, вкл. проектите</w:t>
      </w:r>
    </w:p>
    <w:p w:rsidR="00C56790" w:rsidRPr="000C1188" w:rsidRDefault="00C5679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0C1188" w:rsidRDefault="00C56790" w:rsidP="00915E5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56790" w:rsidRPr="00915E53" w:rsidRDefault="00C56790" w:rsidP="00915E53">
      <w:pPr>
        <w:tabs>
          <w:tab w:val="left" w:pos="5747"/>
        </w:tabs>
        <w:rPr>
          <w:lang w:val="bg-BG"/>
        </w:rPr>
      </w:pPr>
      <w:r w:rsidRPr="000C1188"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C56790" w:rsidRPr="00915E53" w:rsidSect="00A06DFF">
      <w:footerReference w:type="defaul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A7E" w:rsidRDefault="003E3A7E" w:rsidP="00915E53">
      <w:pPr>
        <w:spacing w:after="0" w:line="240" w:lineRule="auto"/>
      </w:pPr>
      <w:r>
        <w:separator/>
      </w:r>
    </w:p>
  </w:endnote>
  <w:endnote w:type="continuationSeparator" w:id="0">
    <w:p w:rsidR="003E3A7E" w:rsidRDefault="003E3A7E" w:rsidP="0091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669" w:rsidRDefault="00EA7669" w:rsidP="00265E3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6E6">
      <w:rPr>
        <w:rStyle w:val="PageNumber"/>
        <w:noProof/>
      </w:rPr>
      <w:t>22</w:t>
    </w:r>
    <w:r>
      <w:rPr>
        <w:rStyle w:val="PageNumber"/>
      </w:rPr>
      <w:fldChar w:fldCharType="end"/>
    </w:r>
  </w:p>
  <w:p w:rsidR="00EA7669" w:rsidRDefault="00EA7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A7E" w:rsidRDefault="003E3A7E" w:rsidP="00915E53">
      <w:pPr>
        <w:spacing w:after="0" w:line="240" w:lineRule="auto"/>
      </w:pPr>
      <w:r>
        <w:separator/>
      </w:r>
    </w:p>
  </w:footnote>
  <w:footnote w:type="continuationSeparator" w:id="0">
    <w:p w:rsidR="003E3A7E" w:rsidRDefault="003E3A7E" w:rsidP="0091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867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C96765"/>
    <w:multiLevelType w:val="hybridMultilevel"/>
    <w:tmpl w:val="A8C652E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80BE8"/>
    <w:multiLevelType w:val="hybridMultilevel"/>
    <w:tmpl w:val="3ABC920E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3B87A97"/>
    <w:multiLevelType w:val="hybridMultilevel"/>
    <w:tmpl w:val="8CF075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B92"/>
    <w:multiLevelType w:val="hybridMultilevel"/>
    <w:tmpl w:val="AB8246A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AB570F3"/>
    <w:multiLevelType w:val="hybridMultilevel"/>
    <w:tmpl w:val="DFC64C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6C615B"/>
    <w:multiLevelType w:val="hybridMultilevel"/>
    <w:tmpl w:val="335811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14F3A86"/>
    <w:multiLevelType w:val="hybridMultilevel"/>
    <w:tmpl w:val="D0303F5E"/>
    <w:lvl w:ilvl="0" w:tplc="97F88B70">
      <w:start w:val="1"/>
      <w:numFmt w:val="upperRoman"/>
      <w:pStyle w:val="Heading1"/>
      <w:lvlText w:val="%1."/>
      <w:lvlJc w:val="left"/>
      <w:pPr>
        <w:tabs>
          <w:tab w:val="num" w:pos="454"/>
        </w:tabs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255D94"/>
    <w:multiLevelType w:val="hybridMultilevel"/>
    <w:tmpl w:val="7D8CF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A770816"/>
    <w:multiLevelType w:val="hybridMultilevel"/>
    <w:tmpl w:val="BDEEF5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B">
      <w:start w:val="1"/>
      <w:numFmt w:val="bullet"/>
      <w:lvlText w:val=""/>
      <w:lvlJc w:val="left"/>
      <w:pPr>
        <w:tabs>
          <w:tab w:val="num" w:pos="1437"/>
        </w:tabs>
        <w:ind w:firstLine="1080"/>
      </w:pPr>
      <w:rPr>
        <w:rFonts w:ascii="Wingdings" w:hAnsi="Wingdings" w:cs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A84366"/>
    <w:multiLevelType w:val="hybridMultilevel"/>
    <w:tmpl w:val="E69ECA6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04CEF"/>
    <w:multiLevelType w:val="multilevel"/>
    <w:tmpl w:val="F85A24E0"/>
    <w:lvl w:ilvl="0">
      <w:start w:val="1"/>
      <w:numFmt w:val="decimal"/>
      <w:pStyle w:val="OPStyleheading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3C4F9E"/>
    <w:multiLevelType w:val="hybridMultilevel"/>
    <w:tmpl w:val="5986F320"/>
    <w:lvl w:ilvl="0" w:tplc="D9460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91FB7"/>
    <w:multiLevelType w:val="hybridMultilevel"/>
    <w:tmpl w:val="6E58962A"/>
    <w:lvl w:ilvl="0" w:tplc="8FFC4C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040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A0E561F"/>
    <w:multiLevelType w:val="hybridMultilevel"/>
    <w:tmpl w:val="4A64342C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7E1B38AA"/>
    <w:multiLevelType w:val="hybridMultilevel"/>
    <w:tmpl w:val="CD06E0B4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1"/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10"/>
  </w:num>
  <w:num w:numId="14">
    <w:abstractNumId w:val="6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CA"/>
    <w:rsid w:val="000146E6"/>
    <w:rsid w:val="00025210"/>
    <w:rsid w:val="00052A41"/>
    <w:rsid w:val="000552C7"/>
    <w:rsid w:val="0005574F"/>
    <w:rsid w:val="000665C5"/>
    <w:rsid w:val="0008040D"/>
    <w:rsid w:val="00084A57"/>
    <w:rsid w:val="000B2540"/>
    <w:rsid w:val="000C1188"/>
    <w:rsid w:val="000C793F"/>
    <w:rsid w:val="000D2862"/>
    <w:rsid w:val="000D2E2A"/>
    <w:rsid w:val="000E62DD"/>
    <w:rsid w:val="000E767D"/>
    <w:rsid w:val="00104EE5"/>
    <w:rsid w:val="00122AC9"/>
    <w:rsid w:val="001310C7"/>
    <w:rsid w:val="00132D00"/>
    <w:rsid w:val="001345BB"/>
    <w:rsid w:val="00147486"/>
    <w:rsid w:val="00150178"/>
    <w:rsid w:val="00151FB6"/>
    <w:rsid w:val="00177883"/>
    <w:rsid w:val="001B2F9F"/>
    <w:rsid w:val="001E2C9E"/>
    <w:rsid w:val="001E6F89"/>
    <w:rsid w:val="001E7817"/>
    <w:rsid w:val="001F26F1"/>
    <w:rsid w:val="0021193D"/>
    <w:rsid w:val="00213446"/>
    <w:rsid w:val="00213D66"/>
    <w:rsid w:val="00214BEA"/>
    <w:rsid w:val="00230F27"/>
    <w:rsid w:val="00234996"/>
    <w:rsid w:val="002445D0"/>
    <w:rsid w:val="002455A9"/>
    <w:rsid w:val="00265E3D"/>
    <w:rsid w:val="00267DDD"/>
    <w:rsid w:val="00270260"/>
    <w:rsid w:val="00275CCA"/>
    <w:rsid w:val="00277C20"/>
    <w:rsid w:val="002A241E"/>
    <w:rsid w:val="002C034E"/>
    <w:rsid w:val="002C2C2D"/>
    <w:rsid w:val="00301F63"/>
    <w:rsid w:val="00317E71"/>
    <w:rsid w:val="00325E57"/>
    <w:rsid w:val="00330632"/>
    <w:rsid w:val="0033323A"/>
    <w:rsid w:val="0034639B"/>
    <w:rsid w:val="00352816"/>
    <w:rsid w:val="003668FA"/>
    <w:rsid w:val="00367444"/>
    <w:rsid w:val="00390D12"/>
    <w:rsid w:val="003D4221"/>
    <w:rsid w:val="003E3A7E"/>
    <w:rsid w:val="003E3B6E"/>
    <w:rsid w:val="00405BBE"/>
    <w:rsid w:val="00406347"/>
    <w:rsid w:val="00406C5C"/>
    <w:rsid w:val="00423095"/>
    <w:rsid w:val="0043287E"/>
    <w:rsid w:val="00440D4F"/>
    <w:rsid w:val="00446976"/>
    <w:rsid w:val="0045025C"/>
    <w:rsid w:val="004536A7"/>
    <w:rsid w:val="00460349"/>
    <w:rsid w:val="004672E4"/>
    <w:rsid w:val="0047101F"/>
    <w:rsid w:val="00471AC0"/>
    <w:rsid w:val="0047469C"/>
    <w:rsid w:val="0048027F"/>
    <w:rsid w:val="004B039B"/>
    <w:rsid w:val="004B1EB6"/>
    <w:rsid w:val="004B216A"/>
    <w:rsid w:val="004E176A"/>
    <w:rsid w:val="004F4772"/>
    <w:rsid w:val="004F5DB5"/>
    <w:rsid w:val="00511839"/>
    <w:rsid w:val="00536A66"/>
    <w:rsid w:val="0056307B"/>
    <w:rsid w:val="005951CE"/>
    <w:rsid w:val="005A1C86"/>
    <w:rsid w:val="005B0CE8"/>
    <w:rsid w:val="005B45D2"/>
    <w:rsid w:val="006126A8"/>
    <w:rsid w:val="0061391C"/>
    <w:rsid w:val="006319C1"/>
    <w:rsid w:val="0065212D"/>
    <w:rsid w:val="006701BA"/>
    <w:rsid w:val="00670D27"/>
    <w:rsid w:val="006916F3"/>
    <w:rsid w:val="006A0ADF"/>
    <w:rsid w:val="006A3B62"/>
    <w:rsid w:val="006C1739"/>
    <w:rsid w:val="006C25A3"/>
    <w:rsid w:val="006D2E1F"/>
    <w:rsid w:val="006E2DF6"/>
    <w:rsid w:val="006E5B52"/>
    <w:rsid w:val="00701B92"/>
    <w:rsid w:val="00711AAE"/>
    <w:rsid w:val="00721575"/>
    <w:rsid w:val="00732F29"/>
    <w:rsid w:val="0073792D"/>
    <w:rsid w:val="00762BEE"/>
    <w:rsid w:val="00765EE6"/>
    <w:rsid w:val="007733E2"/>
    <w:rsid w:val="00774CC8"/>
    <w:rsid w:val="00783618"/>
    <w:rsid w:val="007B1289"/>
    <w:rsid w:val="007B3C1D"/>
    <w:rsid w:val="007B51C8"/>
    <w:rsid w:val="007B73C2"/>
    <w:rsid w:val="00813E52"/>
    <w:rsid w:val="00847192"/>
    <w:rsid w:val="00874820"/>
    <w:rsid w:val="00892220"/>
    <w:rsid w:val="00893199"/>
    <w:rsid w:val="00896981"/>
    <w:rsid w:val="00897945"/>
    <w:rsid w:val="008B1073"/>
    <w:rsid w:val="008D3C80"/>
    <w:rsid w:val="008E6402"/>
    <w:rsid w:val="008E7049"/>
    <w:rsid w:val="008F52A0"/>
    <w:rsid w:val="0090289F"/>
    <w:rsid w:val="00902B42"/>
    <w:rsid w:val="0091261E"/>
    <w:rsid w:val="00915E53"/>
    <w:rsid w:val="00920132"/>
    <w:rsid w:val="00927FEE"/>
    <w:rsid w:val="009419FA"/>
    <w:rsid w:val="00943B14"/>
    <w:rsid w:val="00951E4F"/>
    <w:rsid w:val="00960C1F"/>
    <w:rsid w:val="00963EFD"/>
    <w:rsid w:val="00985518"/>
    <w:rsid w:val="009901B9"/>
    <w:rsid w:val="00993741"/>
    <w:rsid w:val="009A00B4"/>
    <w:rsid w:val="009A1C9E"/>
    <w:rsid w:val="009B0692"/>
    <w:rsid w:val="009B1A9B"/>
    <w:rsid w:val="009E2C37"/>
    <w:rsid w:val="009E760D"/>
    <w:rsid w:val="00A06DFF"/>
    <w:rsid w:val="00A159F6"/>
    <w:rsid w:val="00A21E62"/>
    <w:rsid w:val="00A35E19"/>
    <w:rsid w:val="00A52482"/>
    <w:rsid w:val="00A56267"/>
    <w:rsid w:val="00A5638E"/>
    <w:rsid w:val="00A635B1"/>
    <w:rsid w:val="00A71402"/>
    <w:rsid w:val="00A82440"/>
    <w:rsid w:val="00A83000"/>
    <w:rsid w:val="00AA73C5"/>
    <w:rsid w:val="00AB0643"/>
    <w:rsid w:val="00AD71F5"/>
    <w:rsid w:val="00AE12B2"/>
    <w:rsid w:val="00AE7D39"/>
    <w:rsid w:val="00AF78A2"/>
    <w:rsid w:val="00B019CF"/>
    <w:rsid w:val="00B46BBA"/>
    <w:rsid w:val="00B50F8E"/>
    <w:rsid w:val="00B66034"/>
    <w:rsid w:val="00B70693"/>
    <w:rsid w:val="00B914DB"/>
    <w:rsid w:val="00B91676"/>
    <w:rsid w:val="00BC1B6F"/>
    <w:rsid w:val="00BC578C"/>
    <w:rsid w:val="00BD5059"/>
    <w:rsid w:val="00C046A6"/>
    <w:rsid w:val="00C12C42"/>
    <w:rsid w:val="00C15055"/>
    <w:rsid w:val="00C2229F"/>
    <w:rsid w:val="00C278D9"/>
    <w:rsid w:val="00C31EA3"/>
    <w:rsid w:val="00C32D25"/>
    <w:rsid w:val="00C334A6"/>
    <w:rsid w:val="00C35040"/>
    <w:rsid w:val="00C45273"/>
    <w:rsid w:val="00C47338"/>
    <w:rsid w:val="00C56790"/>
    <w:rsid w:val="00C605D1"/>
    <w:rsid w:val="00C61530"/>
    <w:rsid w:val="00C84260"/>
    <w:rsid w:val="00C854E0"/>
    <w:rsid w:val="00C94E3C"/>
    <w:rsid w:val="00CB77D8"/>
    <w:rsid w:val="00CB7D6B"/>
    <w:rsid w:val="00CC1A7B"/>
    <w:rsid w:val="00CC1BA2"/>
    <w:rsid w:val="00CC61A2"/>
    <w:rsid w:val="00CE0BB2"/>
    <w:rsid w:val="00CF1815"/>
    <w:rsid w:val="00D029A7"/>
    <w:rsid w:val="00D15E0B"/>
    <w:rsid w:val="00D2134E"/>
    <w:rsid w:val="00D31C8B"/>
    <w:rsid w:val="00D32C16"/>
    <w:rsid w:val="00D63CCF"/>
    <w:rsid w:val="00D72222"/>
    <w:rsid w:val="00D77B12"/>
    <w:rsid w:val="00DA663B"/>
    <w:rsid w:val="00DB1600"/>
    <w:rsid w:val="00DC0594"/>
    <w:rsid w:val="00DC4380"/>
    <w:rsid w:val="00DD4CB5"/>
    <w:rsid w:val="00DE12BC"/>
    <w:rsid w:val="00E156AF"/>
    <w:rsid w:val="00E31BAB"/>
    <w:rsid w:val="00E325AE"/>
    <w:rsid w:val="00E430A7"/>
    <w:rsid w:val="00E4324B"/>
    <w:rsid w:val="00E54067"/>
    <w:rsid w:val="00E60EE3"/>
    <w:rsid w:val="00E71C8C"/>
    <w:rsid w:val="00E77F10"/>
    <w:rsid w:val="00E83D81"/>
    <w:rsid w:val="00EA7669"/>
    <w:rsid w:val="00EB0BEE"/>
    <w:rsid w:val="00EC777A"/>
    <w:rsid w:val="00EE00B3"/>
    <w:rsid w:val="00EF3BD8"/>
    <w:rsid w:val="00F003DB"/>
    <w:rsid w:val="00F22CCD"/>
    <w:rsid w:val="00F341DE"/>
    <w:rsid w:val="00F35D5E"/>
    <w:rsid w:val="00F4143F"/>
    <w:rsid w:val="00F44055"/>
    <w:rsid w:val="00F703CF"/>
    <w:rsid w:val="00F81ABF"/>
    <w:rsid w:val="00FA3807"/>
    <w:rsid w:val="00FC5266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18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E53"/>
    <w:pPr>
      <w:keepNext/>
      <w:pageBreakBefore/>
      <w:numPr>
        <w:numId w:val="8"/>
      </w:numPr>
      <w:spacing w:after="120" w:line="240" w:lineRule="auto"/>
      <w:jc w:val="center"/>
      <w:outlineLvl w:val="0"/>
    </w:pPr>
    <w:rPr>
      <w:rFonts w:ascii="Verdana" w:eastAsia="Times New Roman" w:hAnsi="Verdana" w:cs="Verdana"/>
      <w:b/>
      <w:bCs/>
      <w:caps/>
      <w:sz w:val="20"/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E53"/>
    <w:pPr>
      <w:keepNext/>
      <w:pageBreakBefore/>
      <w:spacing w:after="120" w:line="240" w:lineRule="auto"/>
      <w:jc w:val="center"/>
      <w:outlineLvl w:val="1"/>
    </w:pPr>
    <w:rPr>
      <w:rFonts w:ascii="Verdana" w:hAnsi="Verdana" w:cs="Verdana"/>
      <w:b/>
      <w:bCs/>
      <w:caps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E53"/>
    <w:rPr>
      <w:rFonts w:ascii="Verdana" w:eastAsia="Times New Roman" w:hAnsi="Verdana" w:cs="Verdana"/>
      <w:b/>
      <w:bCs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5E53"/>
    <w:rPr>
      <w:rFonts w:ascii="Verdana" w:hAnsi="Verdana" w:cs="Verdana"/>
      <w:b/>
      <w:bCs/>
      <w:caps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rsid w:val="00915E53"/>
    <w:pPr>
      <w:spacing w:after="0" w:line="240" w:lineRule="auto"/>
      <w:ind w:firstLine="720"/>
      <w:jc w:val="center"/>
    </w:pPr>
    <w:rPr>
      <w:b/>
      <w:bCs/>
      <w:caps/>
      <w:sz w:val="20"/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5E53"/>
    <w:rPr>
      <w:rFonts w:ascii="Times New Roman" w:hAnsi="Times New Roman" w:cs="Times New Roman"/>
      <w:b/>
      <w:bCs/>
      <w:caps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character" w:styleId="PageNumber">
    <w:name w:val="page number"/>
    <w:basedOn w:val="DefaultParagraphFont"/>
    <w:uiPriority w:val="99"/>
    <w:rsid w:val="00915E53"/>
  </w:style>
  <w:style w:type="table" w:styleId="TableGrid">
    <w:name w:val="Table Grid"/>
    <w:basedOn w:val="TableNormal"/>
    <w:uiPriority w:val="99"/>
    <w:rsid w:val="00915E5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5E53"/>
    <w:pPr>
      <w:spacing w:after="0" w:line="240" w:lineRule="auto"/>
    </w:pPr>
    <w:rPr>
      <w:rFonts w:ascii="Tahoma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E53"/>
    <w:rPr>
      <w:rFonts w:ascii="Tahoma" w:hAnsi="Tahoma" w:cs="Tahoma"/>
      <w:sz w:val="16"/>
      <w:szCs w:val="16"/>
      <w:lang w:val="bg-BG" w:eastAsia="bg-BG"/>
    </w:rPr>
  </w:style>
  <w:style w:type="paragraph" w:customStyle="1" w:styleId="Char1CharCharChar1">
    <w:name w:val="Char1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915E53"/>
    <w:pPr>
      <w:ind w:left="720"/>
    </w:pPr>
    <w:rPr>
      <w:lang w:val="bg-BG"/>
    </w:rPr>
  </w:style>
  <w:style w:type="paragraph" w:styleId="BodyText">
    <w:name w:val="Body Text"/>
    <w:basedOn w:val="Normal"/>
    <w:link w:val="BodyTextChar"/>
    <w:uiPriority w:val="99"/>
    <w:rsid w:val="00915E53"/>
    <w:pPr>
      <w:spacing w:after="120" w:line="240" w:lineRule="auto"/>
    </w:pPr>
    <w:rPr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CharCharCharCharCharChar5CharCharCharCharCharCharChar">
    <w:name w:val="Char Char Char Char Char Char Char Char5 Char Char Char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NormalIndent1">
    <w:name w:val="Normal Indent 1"/>
    <w:basedOn w:val="NormalIndent"/>
    <w:autoRedefine/>
    <w:uiPriority w:val="99"/>
    <w:rsid w:val="00915E53"/>
    <w:pPr>
      <w:widowControl w:val="0"/>
      <w:ind w:left="286" w:hanging="286"/>
      <w:jc w:val="both"/>
    </w:pPr>
    <w:rPr>
      <w:b/>
      <w:bCs/>
      <w:sz w:val="22"/>
      <w:szCs w:val="22"/>
      <w:lang w:eastAsia="en-US"/>
    </w:rPr>
  </w:style>
  <w:style w:type="paragraph" w:styleId="NormalIndent">
    <w:name w:val="Normal Indent"/>
    <w:basedOn w:val="Normal"/>
    <w:uiPriority w:val="99"/>
    <w:rsid w:val="00915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Emphasis">
    <w:name w:val="Emphasis"/>
    <w:basedOn w:val="DefaultParagraphFont"/>
    <w:uiPriority w:val="99"/>
    <w:qFormat/>
    <w:rsid w:val="00915E53"/>
    <w:rPr>
      <w:i/>
      <w:iCs/>
    </w:rPr>
  </w:style>
  <w:style w:type="character" w:styleId="Hyperlink">
    <w:name w:val="Hyperlink"/>
    <w:basedOn w:val="DefaultParagraphFont"/>
    <w:uiPriority w:val="99"/>
    <w:rsid w:val="00915E53"/>
    <w:rPr>
      <w:color w:val="000000"/>
    </w:rPr>
  </w:style>
  <w:style w:type="paragraph" w:customStyle="1" w:styleId="CharChar1CharChar">
    <w:name w:val="Char Char1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1">
    <w:name w:val="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OPStyleheading2">
    <w:name w:val="OP Style heading 2"/>
    <w:basedOn w:val="Normal"/>
    <w:uiPriority w:val="99"/>
    <w:rsid w:val="00915E53"/>
    <w:pPr>
      <w:numPr>
        <w:numId w:val="5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915E53"/>
    <w:pPr>
      <w:spacing w:after="120" w:line="480" w:lineRule="auto"/>
    </w:pPr>
    <w:rPr>
      <w:sz w:val="20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 Знак Знак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U">
    <w:name w:val="U"/>
    <w:basedOn w:val="Normal"/>
    <w:uiPriority w:val="99"/>
    <w:rsid w:val="00915E53"/>
    <w:pPr>
      <w:widowControl w:val="0"/>
      <w:spacing w:after="0" w:line="260" w:lineRule="atLeast"/>
      <w:jc w:val="both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15E53"/>
  </w:style>
  <w:style w:type="paragraph" w:styleId="FootnoteText">
    <w:name w:val="footnote text"/>
    <w:basedOn w:val="Normal"/>
    <w:link w:val="Footnote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15E53"/>
    <w:pPr>
      <w:spacing w:after="120" w:line="240" w:lineRule="auto"/>
    </w:pPr>
    <w:rPr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15E53"/>
    <w:rPr>
      <w:rFonts w:ascii="Times New Roman" w:hAnsi="Times New Roman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915E53"/>
    <w:pPr>
      <w:tabs>
        <w:tab w:val="right" w:leader="dot" w:pos="9639"/>
      </w:tabs>
      <w:spacing w:after="120" w:line="240" w:lineRule="auto"/>
    </w:pPr>
    <w:rPr>
      <w:rFonts w:ascii="Verdana" w:eastAsia="Times New Roman" w:hAnsi="Verdana" w:cs="Verdana"/>
      <w:caps/>
      <w:sz w:val="20"/>
      <w:szCs w:val="20"/>
      <w:lang w:val="bg-BG" w:eastAsia="bg-BG"/>
    </w:rPr>
  </w:style>
  <w:style w:type="paragraph" w:customStyle="1" w:styleId="CharChar1">
    <w:name w:val="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BlockTitle">
    <w:name w:val="Block Title"/>
    <w:basedOn w:val="BlockText"/>
    <w:next w:val="BlockText"/>
    <w:uiPriority w:val="99"/>
    <w:rsid w:val="00915E53"/>
    <w:pPr>
      <w:keepNext/>
      <w:spacing w:after="0" w:line="280" w:lineRule="atLeast"/>
      <w:ind w:left="567" w:right="0"/>
    </w:pPr>
    <w:rPr>
      <w:rFonts w:ascii="Arial" w:hAnsi="Arial" w:cs="Arial"/>
      <w:b/>
      <w:bCs/>
      <w:color w:val="0A55A3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915E53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">
    <w:name w:val="Char"/>
    <w:basedOn w:val="Normal"/>
    <w:uiPriority w:val="99"/>
    <w:rsid w:val="00915E5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Verdana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5E53"/>
    <w:rPr>
      <w:rFonts w:ascii="Verdana" w:hAnsi="Verdana" w:cs="Verdana"/>
      <w:sz w:val="20"/>
      <w:szCs w:val="20"/>
      <w:lang w:val="bg-BG" w:eastAsia="bg-BG"/>
    </w:rPr>
  </w:style>
  <w:style w:type="paragraph" w:customStyle="1" w:styleId="msolistparagraphcxspmiddle">
    <w:name w:val="msolistparagraphcxspmiddle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listparagraphcxsplast">
    <w:name w:val="msolistparagraphcxsplast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TOC2">
    <w:name w:val="toc 2"/>
    <w:basedOn w:val="Normal"/>
    <w:next w:val="Normal"/>
    <w:autoRedefine/>
    <w:uiPriority w:val="99"/>
    <w:semiHidden/>
    <w:rsid w:val="00915E53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Char1CharCharCharChar">
    <w:name w:val="Char Char1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Bullet">
    <w:name w:val="List Bullet"/>
    <w:basedOn w:val="Normal"/>
    <w:uiPriority w:val="99"/>
    <w:rsid w:val="00915E5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915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5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E53"/>
    <w:rPr>
      <w:rFonts w:ascii="Times New Roman" w:hAnsi="Times New Roman" w:cs="Times New Roman"/>
      <w:b/>
      <w:bCs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18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E53"/>
    <w:pPr>
      <w:keepNext/>
      <w:pageBreakBefore/>
      <w:numPr>
        <w:numId w:val="8"/>
      </w:numPr>
      <w:spacing w:after="120" w:line="240" w:lineRule="auto"/>
      <w:jc w:val="center"/>
      <w:outlineLvl w:val="0"/>
    </w:pPr>
    <w:rPr>
      <w:rFonts w:ascii="Verdana" w:eastAsia="Times New Roman" w:hAnsi="Verdana" w:cs="Verdana"/>
      <w:b/>
      <w:bCs/>
      <w:caps/>
      <w:sz w:val="20"/>
      <w:szCs w:val="20"/>
      <w:lang w:val="bg-BG"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E53"/>
    <w:pPr>
      <w:keepNext/>
      <w:pageBreakBefore/>
      <w:spacing w:after="120" w:line="240" w:lineRule="auto"/>
      <w:jc w:val="center"/>
      <w:outlineLvl w:val="1"/>
    </w:pPr>
    <w:rPr>
      <w:rFonts w:ascii="Verdana" w:hAnsi="Verdana" w:cs="Verdana"/>
      <w:b/>
      <w:bCs/>
      <w:caps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E53"/>
    <w:rPr>
      <w:rFonts w:ascii="Verdana" w:eastAsia="Times New Roman" w:hAnsi="Verdana" w:cs="Verdana"/>
      <w:b/>
      <w:bCs/>
      <w: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5E53"/>
    <w:rPr>
      <w:rFonts w:ascii="Verdana" w:hAnsi="Verdana" w:cs="Verdana"/>
      <w:b/>
      <w:bCs/>
      <w:caps/>
      <w:sz w:val="20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rsid w:val="00915E53"/>
    <w:pPr>
      <w:spacing w:after="0" w:line="240" w:lineRule="auto"/>
      <w:ind w:firstLine="720"/>
      <w:jc w:val="center"/>
    </w:pPr>
    <w:rPr>
      <w:b/>
      <w:bCs/>
      <w:caps/>
      <w:sz w:val="20"/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5E53"/>
    <w:rPr>
      <w:rFonts w:ascii="Times New Roman" w:hAnsi="Times New Roman" w:cs="Times New Roman"/>
      <w:b/>
      <w:bCs/>
      <w:caps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character" w:styleId="PageNumber">
    <w:name w:val="page number"/>
    <w:basedOn w:val="DefaultParagraphFont"/>
    <w:uiPriority w:val="99"/>
    <w:rsid w:val="00915E53"/>
  </w:style>
  <w:style w:type="table" w:styleId="TableGrid">
    <w:name w:val="Table Grid"/>
    <w:basedOn w:val="TableNormal"/>
    <w:uiPriority w:val="99"/>
    <w:rsid w:val="00915E5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5E53"/>
    <w:pPr>
      <w:spacing w:after="0" w:line="240" w:lineRule="auto"/>
    </w:pPr>
    <w:rPr>
      <w:rFonts w:ascii="Tahoma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E53"/>
    <w:rPr>
      <w:rFonts w:ascii="Tahoma" w:hAnsi="Tahoma" w:cs="Tahoma"/>
      <w:sz w:val="16"/>
      <w:szCs w:val="16"/>
      <w:lang w:val="bg-BG" w:eastAsia="bg-BG"/>
    </w:rPr>
  </w:style>
  <w:style w:type="paragraph" w:customStyle="1" w:styleId="Char1CharCharChar1">
    <w:name w:val="Char1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915E53"/>
    <w:pPr>
      <w:ind w:left="720"/>
    </w:pPr>
    <w:rPr>
      <w:lang w:val="bg-BG"/>
    </w:rPr>
  </w:style>
  <w:style w:type="paragraph" w:styleId="BodyText">
    <w:name w:val="Body Text"/>
    <w:basedOn w:val="Normal"/>
    <w:link w:val="BodyTextChar"/>
    <w:uiPriority w:val="99"/>
    <w:rsid w:val="00915E53"/>
    <w:pPr>
      <w:spacing w:after="120" w:line="240" w:lineRule="auto"/>
    </w:pPr>
    <w:rPr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NormalWeb">
    <w:name w:val="Normal (Web)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CharCharCharCharCharChar5CharCharCharCharCharCharChar">
    <w:name w:val="Char Char Char Char Char Char Char Char5 Char Char Char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NormalIndent1">
    <w:name w:val="Normal Indent 1"/>
    <w:basedOn w:val="NormalIndent"/>
    <w:autoRedefine/>
    <w:uiPriority w:val="99"/>
    <w:rsid w:val="00915E53"/>
    <w:pPr>
      <w:widowControl w:val="0"/>
      <w:ind w:left="286" w:hanging="286"/>
      <w:jc w:val="both"/>
    </w:pPr>
    <w:rPr>
      <w:b/>
      <w:bCs/>
      <w:sz w:val="22"/>
      <w:szCs w:val="22"/>
      <w:lang w:eastAsia="en-US"/>
    </w:rPr>
  </w:style>
  <w:style w:type="paragraph" w:styleId="NormalIndent">
    <w:name w:val="Normal Indent"/>
    <w:basedOn w:val="Normal"/>
    <w:uiPriority w:val="99"/>
    <w:rsid w:val="00915E5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Emphasis">
    <w:name w:val="Emphasis"/>
    <w:basedOn w:val="DefaultParagraphFont"/>
    <w:uiPriority w:val="99"/>
    <w:qFormat/>
    <w:rsid w:val="00915E53"/>
    <w:rPr>
      <w:i/>
      <w:iCs/>
    </w:rPr>
  </w:style>
  <w:style w:type="character" w:styleId="Hyperlink">
    <w:name w:val="Hyperlink"/>
    <w:basedOn w:val="DefaultParagraphFont"/>
    <w:uiPriority w:val="99"/>
    <w:rsid w:val="00915E53"/>
    <w:rPr>
      <w:color w:val="000000"/>
    </w:rPr>
  </w:style>
  <w:style w:type="paragraph" w:customStyle="1" w:styleId="CharChar1CharChar">
    <w:name w:val="Char Char1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1">
    <w:name w:val="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OPStyleheading2">
    <w:name w:val="OP Style heading 2"/>
    <w:basedOn w:val="Normal"/>
    <w:uiPriority w:val="99"/>
    <w:rsid w:val="00915E53"/>
    <w:pPr>
      <w:numPr>
        <w:numId w:val="5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915E53"/>
    <w:pPr>
      <w:spacing w:after="120" w:line="480" w:lineRule="auto"/>
    </w:pPr>
    <w:rPr>
      <w:sz w:val="20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 Знак Знак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U">
    <w:name w:val="U"/>
    <w:basedOn w:val="Normal"/>
    <w:uiPriority w:val="99"/>
    <w:rsid w:val="00915E53"/>
    <w:pPr>
      <w:widowControl w:val="0"/>
      <w:spacing w:after="0" w:line="260" w:lineRule="atLeast"/>
      <w:jc w:val="both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915E53"/>
  </w:style>
  <w:style w:type="paragraph" w:styleId="FootnoteText">
    <w:name w:val="footnote text"/>
    <w:basedOn w:val="Normal"/>
    <w:link w:val="Footnote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BodyText3">
    <w:name w:val="Body Text 3"/>
    <w:basedOn w:val="Normal"/>
    <w:link w:val="BodyText3Char"/>
    <w:uiPriority w:val="99"/>
    <w:rsid w:val="00915E53"/>
    <w:pPr>
      <w:spacing w:after="120" w:line="240" w:lineRule="auto"/>
    </w:pPr>
    <w:rPr>
      <w:sz w:val="16"/>
      <w:szCs w:val="16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15E53"/>
    <w:rPr>
      <w:rFonts w:ascii="Times New Roman" w:hAnsi="Times New Roman" w:cs="Times New Roman"/>
      <w:sz w:val="16"/>
      <w:szCs w:val="16"/>
    </w:rPr>
  </w:style>
  <w:style w:type="paragraph" w:styleId="TOC1">
    <w:name w:val="toc 1"/>
    <w:basedOn w:val="Normal"/>
    <w:next w:val="Normal"/>
    <w:autoRedefine/>
    <w:uiPriority w:val="99"/>
    <w:semiHidden/>
    <w:rsid w:val="00915E53"/>
    <w:pPr>
      <w:tabs>
        <w:tab w:val="right" w:leader="dot" w:pos="9639"/>
      </w:tabs>
      <w:spacing w:after="120" w:line="240" w:lineRule="auto"/>
    </w:pPr>
    <w:rPr>
      <w:rFonts w:ascii="Verdana" w:eastAsia="Times New Roman" w:hAnsi="Verdana" w:cs="Verdana"/>
      <w:caps/>
      <w:sz w:val="20"/>
      <w:szCs w:val="20"/>
      <w:lang w:val="bg-BG" w:eastAsia="bg-BG"/>
    </w:rPr>
  </w:style>
  <w:style w:type="paragraph" w:customStyle="1" w:styleId="CharChar1">
    <w:name w:val="Char Char1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BlockTitle">
    <w:name w:val="Block Title"/>
    <w:basedOn w:val="BlockText"/>
    <w:next w:val="BlockText"/>
    <w:uiPriority w:val="99"/>
    <w:rsid w:val="00915E53"/>
    <w:pPr>
      <w:keepNext/>
      <w:spacing w:after="0" w:line="280" w:lineRule="atLeast"/>
      <w:ind w:left="567" w:right="0"/>
    </w:pPr>
    <w:rPr>
      <w:rFonts w:ascii="Arial" w:hAnsi="Arial" w:cs="Arial"/>
      <w:b/>
      <w:bCs/>
      <w:color w:val="0A55A3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915E53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">
    <w:name w:val="Char"/>
    <w:basedOn w:val="Normal"/>
    <w:uiPriority w:val="99"/>
    <w:rsid w:val="00915E5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915E53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Verdana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5E53"/>
    <w:rPr>
      <w:rFonts w:ascii="Verdana" w:hAnsi="Verdana" w:cs="Verdana"/>
      <w:sz w:val="20"/>
      <w:szCs w:val="20"/>
      <w:lang w:val="bg-BG" w:eastAsia="bg-BG"/>
    </w:rPr>
  </w:style>
  <w:style w:type="paragraph" w:customStyle="1" w:styleId="msolistparagraphcxspmiddle">
    <w:name w:val="msolistparagraphcxspmiddle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listparagraphcxsplast">
    <w:name w:val="msolistparagraphcxsplast"/>
    <w:basedOn w:val="Normal"/>
    <w:uiPriority w:val="99"/>
    <w:rsid w:val="0091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TOC2">
    <w:name w:val="toc 2"/>
    <w:basedOn w:val="Normal"/>
    <w:next w:val="Normal"/>
    <w:autoRedefine/>
    <w:uiPriority w:val="99"/>
    <w:semiHidden/>
    <w:rsid w:val="00915E53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CharChar1CharCharCharChar">
    <w:name w:val="Char Char1 Char Char Char Char"/>
    <w:basedOn w:val="Normal"/>
    <w:uiPriority w:val="99"/>
    <w:rsid w:val="00915E53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Bullet">
    <w:name w:val="List Bullet"/>
    <w:basedOn w:val="Normal"/>
    <w:uiPriority w:val="99"/>
    <w:rsid w:val="00915E5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rsid w:val="00915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5E53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15E53"/>
    <w:rPr>
      <w:rFonts w:ascii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5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15E53"/>
    <w:rPr>
      <w:rFonts w:ascii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lgariatrav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752D-2572-4D1B-897B-4B8AC92B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6055</Words>
  <Characters>34516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ПРОЕКТОБЮДЖЕТ ЗА 2015 г</vt:lpstr>
    </vt:vector>
  </TitlesOfParts>
  <Company>MEE</Company>
  <LinksUpToDate>false</LinksUpToDate>
  <CharactersWithSpaces>40491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ПРОЕКТОБЮДЖЕТ ЗА 2015 г</dc:title>
  <dc:creator>admin</dc:creator>
  <cp:lastModifiedBy>stankailieva</cp:lastModifiedBy>
  <cp:revision>2</cp:revision>
  <cp:lastPrinted>2015-02-02T08:17:00Z</cp:lastPrinted>
  <dcterms:created xsi:type="dcterms:W3CDTF">2015-02-02T10:49:00Z</dcterms:created>
  <dcterms:modified xsi:type="dcterms:W3CDTF">2015-02-02T10:49:00Z</dcterms:modified>
</cp:coreProperties>
</file>