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9D4DA5" w:rsidTr="009D4DA5">
        <w:trPr>
          <w:trHeight w:val="309"/>
        </w:trPr>
        <w:tc>
          <w:tcPr>
            <w:tcW w:w="4467" w:type="dxa"/>
          </w:tcPr>
          <w:p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97"/>
        <w:gridCol w:w="5192"/>
        <w:gridCol w:w="7"/>
      </w:tblGrid>
      <w:tr w:rsidR="00076E63" w:rsidRPr="003C124D" w:rsidTr="00281F8E">
        <w:tc>
          <w:tcPr>
            <w:tcW w:w="10296" w:type="dxa"/>
            <w:gridSpan w:val="3"/>
            <w:shd w:val="clear" w:color="auto" w:fill="D9D9D9"/>
          </w:tcPr>
          <w:p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76E63" w:rsidTr="00281F8E">
        <w:trPr>
          <w:gridAfter w:val="1"/>
          <w:wAfter w:w="7" w:type="dxa"/>
        </w:trPr>
        <w:tc>
          <w:tcPr>
            <w:tcW w:w="5097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076E63" w:rsidRPr="00076E63" w:rsidRDefault="003C0DD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Министерство на туризма </w:t>
            </w:r>
          </w:p>
        </w:tc>
        <w:tc>
          <w:tcPr>
            <w:tcW w:w="5192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076E63" w:rsidRPr="00076E63" w:rsidRDefault="003C0DD3" w:rsidP="00A42CD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 </w:t>
            </w:r>
            <w:r w:rsidR="00F21F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допълнение на Закона за туризма </w:t>
            </w:r>
          </w:p>
        </w:tc>
      </w:tr>
      <w:tr w:rsidR="00076E63" w:rsidRPr="00076E63" w:rsidTr="00281F8E">
        <w:trPr>
          <w:gridAfter w:val="1"/>
          <w:wAfter w:w="7" w:type="dxa"/>
        </w:trPr>
        <w:tc>
          <w:tcPr>
            <w:tcW w:w="5097" w:type="dxa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5pt;height:39.75pt" o:ole="">
                  <v:imagedata r:id="rId8" o:title=""/>
                </v:shape>
                <w:control r:id="rId9" w:name="OptionButton2" w:shapeid="_x0000_i1059"/>
              </w:object>
            </w:r>
          </w:p>
        </w:tc>
        <w:tc>
          <w:tcPr>
            <w:tcW w:w="5192" w:type="dxa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>
                <v:shape id="_x0000_i1061" type="#_x0000_t75" style="width:202.5pt;height:39pt" o:ole="">
                  <v:imagedata r:id="rId10" o:title=""/>
                </v:shape>
                <w:control r:id="rId11" w:name="OptionButton1" w:shapeid="_x0000_i1061"/>
              </w:object>
            </w:r>
          </w:p>
          <w:p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AD1DD4" w:rsidRPr="00076E63" w:rsidTr="00281F8E">
        <w:trPr>
          <w:gridAfter w:val="1"/>
          <w:wAfter w:w="7" w:type="dxa"/>
        </w:trPr>
        <w:tc>
          <w:tcPr>
            <w:tcW w:w="5097" w:type="dxa"/>
          </w:tcPr>
          <w:p w:rsidR="00AD1DD4" w:rsidRPr="00AD1DD4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  <w:r w:rsidRPr="00AD1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AD1DD4" w:rsidRPr="00AD1DD4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D1D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Мая Никовска – директор на дирекция „Туристическа политика“, Министерство на туризма;</w:t>
            </w:r>
          </w:p>
          <w:p w:rsidR="00AD1DD4" w:rsidRPr="00AD1DD4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D1D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Венелина Червенкова – началник на отдел РОВТ, дирекция „Туристическа политика</w:t>
            </w:r>
          </w:p>
          <w:p w:rsidR="00AD1DD4" w:rsidRPr="00076E63" w:rsidRDefault="00AD1DD4" w:rsidP="00AD1DD4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192" w:type="dxa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AD1DD4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02/9046 873</w:t>
            </w:r>
          </w:p>
          <w:p w:rsidR="00AD1DD4" w:rsidRPr="00BA304D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m.nikovska</w:t>
            </w:r>
            <w:r w:rsidRPr="00BA304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@tourism.government.bg</w:t>
            </w:r>
          </w:p>
          <w:p w:rsidR="00AD1DD4" w:rsidRPr="00BA304D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02/9046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  <w:p w:rsidR="00AD1DD4" w:rsidRPr="00076E63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A304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chervenkova</w:t>
            </w:r>
            <w:r w:rsidRPr="00BA304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@tourism.government.bg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Проблем/проблеми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1F756C" w:rsidRPr="005D70D2" w:rsidRDefault="00AD1DD4" w:rsidP="001F75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D7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</w:t>
            </w:r>
          </w:p>
          <w:p w:rsidR="008F6120" w:rsidRDefault="009522BB" w:rsidP="009522B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8F61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Липса на съответствие между законодателството на Република България и </w:t>
            </w:r>
            <w:r w:rsidR="001F756C" w:rsidRPr="00C64B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F6120" w:rsidRPr="008F612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Кодексите за либерализация на Организацията за икономическо сътрудничество</w:t>
            </w:r>
            <w:r w:rsidR="001577A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развитие</w:t>
            </w:r>
            <w:r w:rsidR="008F6120" w:rsidRPr="008F612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F612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 отношение </w:t>
            </w:r>
            <w:r w:rsidR="001577A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8F6120" w:rsidRPr="008F612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изискванията към чуждестранните туроператори, туристически агенти, хотелиери, ресторантьори</w:t>
            </w:r>
            <w:r w:rsidR="003A7F2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ски училища</w:t>
            </w:r>
            <w:r w:rsidR="00AA535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AA53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лица, предоставящи балнолечебни (медикъл СПА), СПА, уелнес и таласотерапевтични услуги в сертифицирани центрове</w:t>
            </w:r>
            <w:r w:rsidR="008F6120" w:rsidRPr="008F612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лицата, които упражняват професиите „екскурзовод“, „планински водач“ и „ски  учител“</w:t>
            </w:r>
            <w:r w:rsidR="001577A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AE168A" w:rsidRPr="007C4C87" w:rsidRDefault="00AE168A" w:rsidP="009522BB">
            <w:pPr>
              <w:pStyle w:val="ListParagraph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C4C8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Присъединяването на Република България към Кодексите за либерализация е част от пътя към пълноправно членство на страната ни в Организацията за икономическо сътрудничество и развитие, тъй като те са задължителен правен инструмент на ОИСР.</w:t>
            </w:r>
          </w:p>
          <w:p w:rsidR="007C4C87" w:rsidRDefault="007C4C87" w:rsidP="009522B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В изпълнение на Пътната карта за действията на Република България по присъединяването към ОИСР, приета с Решение № 789 на Министерския съвет от 2017 г., беше сключено Споразумение между правителството на Република България и ОИСР за извършването на преглед за присъединяване на страната към Кодекса за либерализация на движението на капитали и към Кодекса за либерализация на текущите невидими операции, ратифицирано със закон и обнародвано в „Държавен вестник“, бр.16 от 2019 г., в сила от 8 февруари 2019 г.</w:t>
            </w:r>
          </w:p>
          <w:p w:rsidR="007C4C87" w:rsidRDefault="007C4C87" w:rsidP="009522B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Кодексите за либерализация на движението на капитали и на текущите невидими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Кодексите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многостранно подкрепени правни инструменти на ОИСР, насърчаващи свободата на трансграничното движение на капитали и на услуги.  Кодексите имат правен статут на Решение на Съвета на ОИСР, което е обвързващо за всички държави-членки на организацията. Те предоставят рамка за уведомяване, проверка и консултация, чрез която се следи и постига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ефективно спазването на техните предписания. Кодексите също така служат като отправна точка, спрямо която може да се прецени напредъка към либерализация. </w:t>
            </w:r>
          </w:p>
          <w:p w:rsidR="0000495C" w:rsidRPr="0000495C" w:rsidRDefault="007C4C87" w:rsidP="009522B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Във връзка с процеса на присъединяване на Република България към Кодексите, Инвестиционният комитет на ОИСР е посочил като важна за присъединяването на България темата за предприятията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които предоставят услуги 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като  туроператор и/или туристически агент, хотелиерски и ресторантьорски услуги и лицата, упражняващи професиите „екскурзовод“, „планински водач“ и „ски учител“, които са  регламентирани дейности и професии в държави-членки на ОИСР.</w:t>
            </w:r>
          </w:p>
          <w:p w:rsidR="0000495C" w:rsidRPr="0000495C" w:rsidRDefault="009522BB" w:rsidP="009522B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 цел недопускане на дискриминация касаещ</w:t>
            </w:r>
            <w:r w:rsidR="00C84C7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а,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доставчиците  от държавите –членки на ОИСР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които не са членове на ЕС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горепосочените услуги</w:t>
            </w:r>
            <w:r w:rsidR="00C84C7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</w:t>
            </w:r>
            <w:r w:rsidR="0000495C" w:rsidRPr="000049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извършвани от туроператори, туристически  агенти, хотелиери, ресторантьори, ски-училища и лицата упражняващи  трите професии  е необходимо да се допълнят съответните норми в Закона за туризма.</w:t>
            </w:r>
          </w:p>
          <w:p w:rsidR="007C4C87" w:rsidRDefault="003A7F21" w:rsidP="009522B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Причините, които налагат  допълнения в Закона за туризма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продиктувани от необходимостта от привеждане на закона в съответствие с Кодексите за либерализация на Организацията за икономическо сътрудничество и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ОИСР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 цел изравняване на изискванията към чуждестранните доставчици на гореописаните туристически услуги, които са извън ЕС, спрямо българските доставчици на услуги и недопускане на неравнопоставеност. </w:t>
            </w:r>
          </w:p>
          <w:p w:rsidR="003A7F21" w:rsidRPr="003A7F21" w:rsidRDefault="003A7F21" w:rsidP="009522BB">
            <w:pPr>
              <w:spacing w:after="12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 Проблемът не може да бъде решен в рамките на действащите правни норми, нито чрез промяна в организацията на работа или чрез въвеждане на нови технологични възможности. </w:t>
            </w:r>
          </w:p>
          <w:p w:rsidR="001F756C" w:rsidRDefault="00DC092D" w:rsidP="009522BB">
            <w:pPr>
              <w:spacing w:before="120" w:after="1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1.3 </w:t>
            </w:r>
            <w:r w:rsidR="009522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Описаният проблем не може да се реши в рамките на действащата нормативна уредба. </w:t>
            </w:r>
          </w:p>
          <w:p w:rsidR="00C84C77" w:rsidRDefault="0010533E" w:rsidP="009522BB">
            <w:pPr>
              <w:spacing w:after="120" w:line="240" w:lineRule="auto"/>
              <w:ind w:left="142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Действащите норми </w:t>
            </w:r>
            <w:r w:rsidR="0007311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ЗТ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регламентират с</w:t>
            </w:r>
            <w:r w:rsidRPr="0010533E">
              <w:rPr>
                <w:rFonts w:ascii="Times New Roman" w:eastAsia="Times New Roman" w:hAnsi="Times New Roman" w:cs="Times New Roman"/>
                <w:sz w:val="24"/>
                <w:szCs w:val="24"/>
              </w:rPr>
              <w:t>вободата на установяване и свободата на предоставяне на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които </w:t>
            </w:r>
            <w:r w:rsidRPr="0010533E">
              <w:rPr>
                <w:rFonts w:ascii="Times New Roman" w:eastAsia="Times New Roman" w:hAnsi="Times New Roman" w:cs="Times New Roman"/>
                <w:sz w:val="24"/>
                <w:szCs w:val="24"/>
              </w:rPr>
              <w:t>са от основно значение за мобилността на предприятията и професионалната мобилност в рамките на 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като и за </w:t>
            </w:r>
            <w:r w:rsidR="0007311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държава - страна по Споразумението за Европейското икономическо пространство, или на Конфедерация Швейцария. По отношение на </w:t>
            </w:r>
            <w:r w:rsidR="00C84C7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легитимни предприятия и граждани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извън ЕС</w:t>
            </w:r>
            <w:r w:rsidR="00C84C7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,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ЕИП или Конфедерация Швейцария</w:t>
            </w:r>
            <w:r w:rsidR="00C84C7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, действащото законодателство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не допуска възможността да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упражняват горецитиран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ите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дейност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и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</w:t>
            </w:r>
            <w:r w:rsidR="00C84C7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упражнява</w:t>
            </w:r>
            <w:r w:rsidR="00820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професии </w:t>
            </w:r>
            <w:r w:rsidRPr="0010533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на територията на страната. </w:t>
            </w:r>
          </w:p>
          <w:p w:rsidR="00820B7B" w:rsidRDefault="00C84C77" w:rsidP="009522BB">
            <w:pPr>
              <w:spacing w:after="12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1</w:t>
            </w:r>
            <w:r w:rsidR="0095131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.4</w:t>
            </w:r>
            <w:r w:rsidR="00820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9522BB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820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Изискването произтича от необходимостта от изпълнение на Пътната карта за действията на Република България по присъединяването към ОИСР, приета с Решение № 789 </w:t>
            </w:r>
            <w:r w:rsidR="00820B7B" w:rsidRPr="00820B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Министерския съвет от 2017 г., беше сключено Споразумение между правителството на Република България и ОИСР за извършването на преглед за присъединяване на страната към Кодекса за либерализация на движението на капитали и към Кодекса за либерализация на текущите невидими операции, ратифицирано със закон и обнародвано в „Държавен вестник“, бр.16 от 2019 г., в сила от 8 февруари 2019 г.</w:t>
            </w:r>
          </w:p>
          <w:p w:rsidR="00820B7B" w:rsidRDefault="009522BB" w:rsidP="009522B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820B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Няма задължителни действия, произтичащи от актове от п</w:t>
            </w:r>
            <w:r w:rsidR="0089464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равото на ЕС или от нормативни а</w:t>
            </w:r>
            <w:r w:rsidR="00820B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ктове от по-висока степен. </w:t>
            </w:r>
          </w:p>
          <w:p w:rsidR="00C84C77" w:rsidRPr="0010533E" w:rsidRDefault="00820B7B" w:rsidP="009522BB">
            <w:pPr>
              <w:spacing w:after="12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1.5 </w:t>
            </w:r>
            <w:r w:rsidR="009522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Не са извършвани последващи оценки на нормативния акт или анализи на изпълнението на политиката. 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:rsidR="00820B7B" w:rsidRDefault="00820B7B" w:rsidP="00813D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Цел 1: Изпълнение на препоръка на Инвестиционния комитет на ОИСР в съответствие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Кодексите за либерализация на ОИСР, за присъединяването към които е сключено Споразумение между правителството на Република България и ОИСР, ратифицирано </w:t>
            </w:r>
            <w:r w:rsidRPr="00820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със закон и обнародвано в „Държавен вестник“, бр.16 от 2019 г., в сила от 8 февруари 2019 г.</w:t>
            </w:r>
            <w:r w:rsidR="00755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и и</w:t>
            </w:r>
            <w:r w:rsidR="00746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зравняване на изискванията към чуждестранните доставчици на туристически услуги от държави-членки на ОИС, които са извън ЕС, спрямо българскит</w:t>
            </w:r>
            <w:r w:rsidR="00894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е доставчици на туристически усл</w:t>
            </w:r>
            <w:r w:rsidR="00746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уги и недопускане на неравнопоставеност. 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:rsidR="00A23AC5" w:rsidRPr="007A42D1" w:rsidRDefault="00A23AC5" w:rsidP="00A23AC5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Потребители на туристически услуги – неограничен брой;</w:t>
            </w:r>
          </w:p>
          <w:p w:rsidR="00A23AC5" w:rsidRPr="007A42D1" w:rsidRDefault="00A23AC5" w:rsidP="00A23AC5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Министър на туризма, регулаторен орган по функционална компетентност; </w:t>
            </w:r>
          </w:p>
          <w:p w:rsidR="00A23AC5" w:rsidRPr="007A42D1" w:rsidRDefault="00A23AC5" w:rsidP="004B5682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Лицата, предоставящи туристически услуги в качеството си на туроператор</w:t>
            </w:r>
            <w:r w:rsidR="0074679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и, </w:t>
            </w: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туристически агент</w:t>
            </w:r>
            <w:r w:rsidR="004D35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4679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хотелиери, ресторантьори, СПА, уелнес и таласотерапевтични услуги, екскурзоводи, планински водачи, ски учители </w:t>
            </w: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както и доставчици на други видове туристически у</w:t>
            </w:r>
            <w:r w:rsidR="004B56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слуги – основни и допълнителни;</w:t>
            </w:r>
          </w:p>
          <w:p w:rsidR="00A23AC5" w:rsidRPr="007A42D1" w:rsidRDefault="00A23AC5" w:rsidP="00A23A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българския пазар оперират около  </w:t>
            </w:r>
            <w:r w:rsidR="002D35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3730 </w:t>
            </w: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туроператори и туристически агенти. </w:t>
            </w:r>
          </w:p>
          <w:p w:rsidR="00A23AC5" w:rsidRPr="007A42D1" w:rsidRDefault="00A23AC5" w:rsidP="00A23A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Общият брой предприятия с основна дейност една от следните</w:t>
            </w:r>
            <w:r w:rsidRPr="007A4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7A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 хотелиерство, ресторантьорство, туроператорска или туристическа агентска дейност е повече от 26 хил. през 2022 г. , като над 99% от тях са с до 249 заети. </w:t>
            </w:r>
          </w:p>
          <w:p w:rsidR="00A23AC5" w:rsidRPr="007A42D1" w:rsidRDefault="004B5682" w:rsidP="00A23A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 </w:t>
            </w:r>
            <w:r w:rsidR="00A23AC5"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Местни, регионални и  централни институционални органи;      </w:t>
            </w:r>
          </w:p>
          <w:p w:rsidR="00A23AC5" w:rsidRPr="007A42D1" w:rsidRDefault="00A23AC5" w:rsidP="004B5682">
            <w:pPr>
              <w:spacing w:after="1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Всички други сдружения на граждани и организации, които са а</w:t>
            </w:r>
            <w:r w:rsidR="004B56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нгажирани с посочените проблеми.</w:t>
            </w:r>
          </w:p>
          <w:p w:rsidR="00A23AC5" w:rsidRPr="007A42D1" w:rsidRDefault="00A23AC5" w:rsidP="00A23A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Националния туристически регистър са вписани 233 туристически сдружения.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AD1DD4" w:rsidRPr="00076E63" w:rsidTr="00281F8E">
        <w:tc>
          <w:tcPr>
            <w:tcW w:w="10296" w:type="dxa"/>
            <w:gridSpan w:val="3"/>
          </w:tcPr>
          <w:p w:rsidR="00746793" w:rsidRDefault="00AD1DD4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4.1. </w:t>
            </w:r>
            <w:r w:rsidR="0074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1:</w:t>
            </w:r>
          </w:p>
          <w:p w:rsid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3A2D91" w:rsidRPr="003A2D91" w:rsidRDefault="003A2D91" w:rsidP="003A2D9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A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746793" w:rsidRPr="00746793" w:rsidRDefault="006E5BD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746793" w:rsidRPr="0074679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„Без действие“ се характеризира </w:t>
            </w:r>
            <w:r w:rsidR="0074679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непредприемането на никакви действия, които пряко адресират дефинираните проблеми. При такъв вариант ще продължи да съществува действащата нормативна уредба в ЗТ, която е в противоречие с Код</w:t>
            </w:r>
            <w:r w:rsid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ексите за либерализация на ОИСР.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C3182A" w:rsidRPr="00C3182A" w:rsidRDefault="002B0AE9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6E5B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очаквани положителни икономически, социални, или екологични въздействия вследствие на прилагането на този вариант.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6B4F48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(икономически/социални/екологични) въздействия: </w:t>
            </w:r>
          </w:p>
          <w:p w:rsidR="003A2D91" w:rsidRPr="003A2D91" w:rsidRDefault="006E5BDA" w:rsidP="003A2D9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3A2D91" w:rsidRP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Неизпълнение на препоръката на Инвестиционния комитет на ОИСР </w:t>
            </w:r>
            <w:r w:rsid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съответствие с Кодексите за либерализация на ОИСР за присъединяването</w:t>
            </w:r>
            <w:r w:rsidR="00720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които е сключено Споразумение </w:t>
            </w:r>
            <w:r w:rsidR="003A2D91" w:rsidRPr="003A2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между правителството на Република България и ОИСР, ратифицирано със закон и обнародвано в „Държавен вестник“, бр.16 от 2019 г., в сила от 8 февруари 2019 г.</w:t>
            </w:r>
          </w:p>
          <w:p w:rsidR="003A2D91" w:rsidRDefault="003A2D91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Неприсъединяване или забавяне в присъединяването на Република България към ОИСР</w:t>
            </w:r>
            <w:r w:rsidR="00720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3A2D91" w:rsidRPr="003A2D91" w:rsidRDefault="003A2D91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Невъзможност доставчици на туристически услуги от държави-членки на ОИСР, които са извън ЕС, да оперират на територията на страната ни.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6B4F48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Специфични въздействия: </w:t>
            </w:r>
          </w:p>
          <w:p w:rsidR="003A2D91" w:rsidRPr="003A2D91" w:rsidRDefault="003A2D91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</w:t>
            </w:r>
            <w:r w:rsidR="00720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4F48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2D91" w:rsidRPr="003A2D91" w:rsidRDefault="003A2D91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отчитат</w:t>
            </w:r>
            <w:r w:rsidR="00720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3A2D91" w:rsidRPr="006E5BD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  <w:r w:rsidR="003A2D91" w:rsidRPr="003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административната тежест не се променя</w:t>
            </w:r>
            <w:r w:rsidR="00720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6E5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C3182A" w:rsidRPr="00C3182A" w:rsidRDefault="003A2D91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</w:t>
            </w:r>
            <w:r w:rsidR="00C3182A" w:rsidRPr="00C31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3182A" w:rsidRPr="005A7F37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7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 „ Приемане на предложените промени “:</w:t>
            </w:r>
          </w:p>
          <w:p w:rsidR="00C3182A" w:rsidRDefault="006E5BDA" w:rsidP="006E5BD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     </w:t>
            </w:r>
            <w:r w:rsidR="00C3182A"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 се </w:t>
            </w:r>
            <w:r w:rsidR="0030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ЗИД на ЗТ. </w:t>
            </w:r>
            <w:r w:rsidR="00300FA8" w:rsidRPr="00300F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</w:t>
            </w:r>
            <w:r w:rsidR="00300F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предложените допълнения в Закона за туризма се свеждат до следното: </w:t>
            </w:r>
          </w:p>
          <w:p w:rsidR="00300FA8" w:rsidRPr="00300FA8" w:rsidRDefault="006E5BDA" w:rsidP="006E5BD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Причините, които налагат </w:t>
            </w:r>
            <w:r w:rsidR="00A42CD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допълнения 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Закона за туризма 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ЗТ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са продиктувани от необходимостта от привеждане на закона в съответствие с Кодексите за либерализация на Организацията за икономическо сътрудничество и развитие с цел изравняване на изискванията към чуждестранните туроператори,  туристически агенти, хотелиери, ресторантьори, ски училища, лица, предоставящи балнолечебни (медикъл СПА), СПА, уелнес и таласотерапевтични услуги в сертифицирани центрове и лицата, които упражняват професиите „екскурзовод“, „планински водач“ и „ски  учител“ от държави-членки на ОИСР, които са извън Европейския съюз, спрямо българските доставчици на туристически услуги и недопускане на неравнопоставеност. </w:t>
            </w:r>
          </w:p>
          <w:p w:rsidR="00300FA8" w:rsidRPr="00300FA8" w:rsidRDefault="00300FA8" w:rsidP="006E5BD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В изпълнение на Пътната карта за действията на Република България по присъединяването към ОИСР, приета с Решение № 789 на Министерския съвет от 2017 г., беше сключено Споразумение между правителството на Република България и ОИСР за извършването на преглед за присъединяване на страната към Кодекса за либерализация на движението на капитали и към Кодекса за либерализация на текущите невидими операции, ратифицирано със закон и обнародвано в „Държавен вестник“, бр.16 от 2019 г., в сила от 8 февруари 2019 г.</w:t>
            </w:r>
          </w:p>
          <w:p w:rsidR="00300FA8" w:rsidRDefault="00300FA8" w:rsidP="006E5BD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Кодексите за либерализация на движението на капитали и на текущите невидими операции 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Кодексите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многостранно подкрепени правни инструменти на ОИСР, насърчаващи свободата на трансграничното движение на капитали и на услуги.  Кодексите имат правен статут на Решение на Съвета на ОИСР, което е обвързващо за всички държави-членки на организацията.</w:t>
            </w:r>
          </w:p>
          <w:p w:rsidR="00300FA8" w:rsidRPr="00300FA8" w:rsidRDefault="006E5BDA" w:rsidP="006E5BD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 цел недопускане на дискриминация, касаеща доставчиците  от държавите –членки на ОИСР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които не са членове на ЕС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горепосочените услуги, извършвани от туроператори, туристически  агенти, хотелиери, ресторантьори, ски-училища</w:t>
            </w:r>
            <w:r w:rsidR="002D353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2D35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лица, предоставящи балнолечебни (медикъл СПА), СПА, уелнес и таласотерапевтични услуги в сертифицирани центрове</w:t>
            </w:r>
            <w:r w:rsidR="00300FA8"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лицата, упражняващи  трите професии,  е необходимо да се допълнят съответните норми в Закона за туризма.</w:t>
            </w:r>
          </w:p>
          <w:p w:rsidR="00300FA8" w:rsidRPr="00300FA8" w:rsidRDefault="00300FA8" w:rsidP="006E5BD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В действащата нормативна уредба съгласно </w:t>
            </w:r>
            <w:r w:rsidRPr="00300FA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Закона за туризма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Глава седма „Туроператорска и туристическа агентска дейност“ Раздел I Условия и ред за извършване на туроператорска и туристическа агентска дейност са регламентирани изискванията спрямо лицата, които ще извършват дейност като туроператор и туристически агент на територията на Република България.  Административният режим е регистрационен. </w:t>
            </w:r>
          </w:p>
          <w:p w:rsidR="00300FA8" w:rsidRPr="00300FA8" w:rsidRDefault="00300FA8" w:rsidP="006E5BDA">
            <w:pPr>
              <w:spacing w:after="120" w:line="240" w:lineRule="auto"/>
              <w:ind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Изискванията към момента синтезирано се съдържат в чл. 61 от ЗТ, като нормата с нейните подразделения повелява туроператорска и/или туристическа агентска дейност на територията на Република България  да се извършва от регистрирано по закона лице, което е търговец по смисъла на Търговския закон или юридическо лице, което има право по силата на друг закон за извършва стопанска дейност, включително по законодателството на друга  държава - членка на Европейския съюз, и на държава - страна по Споразумението за Европейското икономическо пространство, или на Конфедерация Швейцария. По отношение на субекти извън ЕС и ЕИП или Конфедерация Швейцария България не допуска възможността да упражняват горецитираната дейност на територията на страната.  </w:t>
            </w:r>
          </w:p>
          <w:p w:rsidR="00300FA8" w:rsidRPr="00300FA8" w:rsidRDefault="00300FA8" w:rsidP="006E5BDA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В тази връзка, като причина, която налага допълнение в Закона за туризма изтъкваме необходимостта от привеждане на закона в съответствие с Кодексите за либерализация на ОИСР с цел изравняването на изискванията спрямо субектите, които са под юрисдикцията на държави-членки на ОИСР, които са извън ЕС, ЕИП и Конфедерация Швейцария.  Изложеното налага да се допълнят съответните членове на ЗТ в Глава седма, като  навсякъде, където е относимо, след  </w:t>
            </w:r>
            <w:r w:rsidRPr="0030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думите "Конфедерация Швейцария" се добавя "и на държавите, които прилагат </w:t>
            </w:r>
            <w:r w:rsidRPr="00300FA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Кодексите за либерализация на движението на капитали и на текущите невидими операции на Организацията 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за икономическо сътрудничество и развитие</w:t>
            </w:r>
            <w:r w:rsidRPr="0030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".  По този начин се разширява кръгът на лицата, които имат право да извършват дейност като туроператор и/или туристически агент на територията на Република България, като до пазара на услуги се ще се допускат и лицата от държавите-членки на ОИСР, които са извън ЕС, ЕИП и Конфедерация Швейцария,  и по този начин се изравняват изискванията,  които ще  се прилагат спрямо тях сравнимо с изискванията към българските туроператори и туристически агенти и не се допуска неравнопоставеност. </w:t>
            </w:r>
            <w:r w:rsidRPr="00300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 xml:space="preserve">  </w:t>
            </w:r>
          </w:p>
          <w:p w:rsidR="00300FA8" w:rsidRPr="00300FA8" w:rsidRDefault="00300FA8" w:rsidP="006E5BDA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300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 xml:space="preserve">              Аналогично, като допълнение на действащия ЗТ с настоящия проект е предвидено и в Глава осма „Хотелиерство и ресторантьорство“ Раздел I „Хотелиерска и ресторантьорска дейност“ в частност в чл. 113, ал. 1, т. 1, като след думите  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развитие".  </w:t>
            </w:r>
            <w:r w:rsidR="00B9338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Допълнение се предвижда и в чл. 129, ал.1, т. 1, б. „б“ и ал. 3, б. „б“, като след </w:t>
            </w:r>
            <w:r w:rsidR="00B93386" w:rsidRPr="00DC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думите "Конфедерация Швейцария" се добавя "и на държавите, които прилагат </w:t>
            </w:r>
            <w:r w:rsidR="00B93386" w:rsidRPr="00DC7AA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Кодексите за либерализация на движението на капитали и на текущите невидими операции на Организацията </w:t>
            </w:r>
            <w:r w:rsidR="00B93386" w:rsidRPr="00DC7AA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за икономическо сътрудничество и развитие</w:t>
            </w:r>
            <w:r w:rsidR="00B93386" w:rsidRPr="00DC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"</w:t>
            </w:r>
          </w:p>
          <w:p w:rsidR="00300FA8" w:rsidRPr="00300FA8" w:rsidRDefault="00300FA8" w:rsidP="006E5BDA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300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 xml:space="preserve">              Допълнение в същия контекст със законопроекта се предвижда и в чл. 140, ал.1, т.1</w:t>
            </w:r>
            <w:r w:rsidR="00B933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bg-BG"/>
              </w:rPr>
              <w:t xml:space="preserve"> </w:t>
            </w:r>
            <w:r w:rsidR="00B933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 xml:space="preserve">и ал. 2, т.1, б. „б“ </w:t>
            </w:r>
            <w:r w:rsidRPr="00300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 xml:space="preserve"> от ЗТ по отношение на доставчиците на услуги от държавите-членки на ОИСР, които са извън ЕС в сертифицирани по реда на закона балнеолечебни, СПА, уелнес и таласотерапевтични услуги, както и по отношение на ски училищата – допълва се чл. 143б, ал. 1, т. 1, чл. 143б, ал. 2, т.2 и чл. 143е, ал. 1 от ЗТ, като навсякъде, след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развитие".  </w:t>
            </w:r>
          </w:p>
          <w:p w:rsidR="00300FA8" w:rsidRPr="00300FA8" w:rsidRDefault="00300FA8" w:rsidP="006E5BDA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Като  друга важна тема относно регулаторните режими, прогласени със Закона на туризма, Инвестиционният комитет на ОИСР е посочил наличното  ограничаване спрямо лицата, които упражняват професиите „екскурзовод“, „планински водач“ и „ски учител“, които са граждани на държава-членка на ОИСР, която е извън ЕС.  Съобразно нормите на Глава Дванадесета от действащия ЗТ</w:t>
            </w:r>
            <w:r w:rsidRPr="00300FA8">
              <w:rPr>
                <w:rFonts w:ascii="Tahoma" w:eastAsia="Times New Roman" w:hAnsi="Tahoma" w:cs="Tahoma"/>
                <w:color w:val="000000"/>
                <w:lang w:val="bg-BG" w:eastAsia="bg-BG"/>
              </w:rPr>
              <w:t xml:space="preserve"> з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а упражняване на професиите е необходимо съответното лице да притежава правоспособност за извършване на дейността и да бъде вписано в Националния туристически регистър. </w:t>
            </w:r>
          </w:p>
          <w:p w:rsidR="00300FA8" w:rsidRPr="00300FA8" w:rsidRDefault="00300FA8" w:rsidP="006E5BDA">
            <w:pPr>
              <w:shd w:val="clear" w:color="auto" w:fill="FFFFFF"/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Правоспособност за упражняване на професиите по чл. 146, ал. 1 ЗТ може да придобие всеки дееспособен български гражданин или гражданин на държава - членка на Европейския съюз, и на държава - страна по Споразумението за Европейското икономическо пространство, или на Конфедерация Швейцария. </w:t>
            </w:r>
          </w:p>
          <w:p w:rsidR="00300FA8" w:rsidRPr="00300FA8" w:rsidRDefault="00300FA8" w:rsidP="006E5BDA">
            <w:pPr>
              <w:spacing w:after="120" w:line="240" w:lineRule="auto"/>
              <w:ind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 </w:t>
            </w:r>
            <w:r w:rsidR="006E5BD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Във връзка с горното, и в контекста на необходимостта от привеждане на Закона за туризма в съответствие с Кодексите за либерализация на Организацията за икономическо сътрудничество и развитие с цел изравняване на изискванията към екскурзоводите, планинските водачи и ски учителите за придобиване на правоспособност, в чл. 146, ал. 3 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развитие, ако отговаря на условията за придобиване на правоспособност за упражняване на професията в Република България“.   </w:t>
            </w:r>
          </w:p>
          <w:p w:rsidR="00300FA8" w:rsidRPr="00300FA8" w:rsidRDefault="00300FA8" w:rsidP="006E5BDA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В останалите разпоредби на посочената глава, където е относимо, 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развитие“. По този начин се разширява кръгът на лицата, които имат право да упражняват професиите „екскурзовод“, „планински водач“ и „ски учител“ на територията на Република България, като до пазара на услуги се ще се допускат и лицата от държавите-членки на ОИСР, които са извън ЕС, ЕИП и Конфедерация Швейцария с изравнени изисквания,  които ще  се прилагат спрямо тях сравнимо с изискванията към българските и европейските екскурзоводи, планински водачи и ски учители и не се допуска неравно</w:t>
            </w:r>
            <w:r w:rsidR="006E5BD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</w:t>
            </w:r>
            <w:r w:rsidRPr="0030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ставеност.                     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 този вариант с „приемане на предложените промени“ ще е налице:</w:t>
            </w:r>
          </w:p>
          <w:p w:rsidR="00300FA8" w:rsidRPr="006E5BDA" w:rsidRDefault="00300FA8" w:rsidP="00300F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за приемане на </w:t>
            </w:r>
            <w:r w:rsidRPr="00300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Закон за допълнение на Закона за туризма ще се изпълни препоръката на Инвестиционния комитет на ОИСР относно недискриминация на доставчиците на туристически услуги на тери</w:t>
            </w:r>
            <w:r w:rsidR="006E5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торията на Република България.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300FA8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приемането на предложените </w:t>
            </w:r>
            <w:r w:rsidR="00300F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допълнения </w:t>
            </w:r>
            <w:r w:rsidRPr="00C318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Закона за туризма </w:t>
            </w:r>
            <w:r w:rsidR="00300F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осигурено пълно съответствие с изискванията на Кодексите за либерализация. 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очакват.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</w:t>
            </w:r>
            <w:r w:rsidR="004D6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259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D6B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осигуряване на достъп до пазара на туристически услуги на доставчици от страни членки на ОИСР, които са извън ЕС, ЕИП и Конфедерация Швейцария. </w:t>
            </w:r>
          </w:p>
          <w:p w:rsid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6B44" w:rsidRDefault="004D6B44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D6B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оказва</w:t>
            </w:r>
          </w:p>
          <w:p w:rsidR="003A44C1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</w:p>
          <w:p w:rsidR="004D6B44" w:rsidRPr="004D6B44" w:rsidRDefault="004D6B44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D6B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наблюдава промяна</w:t>
            </w:r>
          </w:p>
          <w:p w:rsidR="00C3182A" w:rsidRPr="00C3182A" w:rsidRDefault="00C3182A" w:rsidP="00C318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18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C3182A" w:rsidRPr="006E5BDA" w:rsidRDefault="00C3182A" w:rsidP="00736A82">
            <w:pPr>
              <w:numPr>
                <w:ilvl w:val="1"/>
                <w:numId w:val="1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D6B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C3182A" w:rsidRPr="004D6B44" w:rsidRDefault="00C3182A" w:rsidP="00C3182A">
            <w:pPr>
              <w:numPr>
                <w:ilvl w:val="1"/>
                <w:numId w:val="1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D6B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443F54" w:rsidRDefault="004D6B44" w:rsidP="00272DD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D6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„Ненормативна намеса“ </w:t>
            </w:r>
          </w:p>
          <w:p w:rsidR="00AE0B89" w:rsidRPr="004D6B44" w:rsidRDefault="00AE0B89" w:rsidP="00272DD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 СЕ РАЗГЛЕЖДА</w:t>
            </w:r>
            <w:r w:rsidR="006E5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:rsidR="004D6B44" w:rsidRPr="00C3182A" w:rsidRDefault="004D6B44" w:rsidP="00AE0B8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:rsidR="00AD1DD4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AD1DD4" w:rsidRPr="00C93DF1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7938" w:type="dxa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4179"/>
              <w:gridCol w:w="1543"/>
              <w:gridCol w:w="1764"/>
            </w:tblGrid>
            <w:tr w:rsidR="002B0AE9" w:rsidRPr="003C124D" w:rsidTr="002B0AE9">
              <w:trPr>
                <w:trHeight w:val="357"/>
              </w:trPr>
              <w:tc>
                <w:tcPr>
                  <w:tcW w:w="463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2B0AE9" w:rsidRPr="00076E63" w:rsidRDefault="002B0AE9" w:rsidP="00AD1DD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2B0AE9" w:rsidRPr="00076E63" w:rsidRDefault="002B0AE9" w:rsidP="00196C9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:rsidR="002B0AE9" w:rsidRPr="00076E63" w:rsidRDefault="002B0AE9" w:rsidP="00196C9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2B0AE9" w:rsidRDefault="002B0AE9" w:rsidP="00196C9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2</w:t>
                  </w:r>
                </w:p>
                <w:p w:rsidR="002B0AE9" w:rsidRPr="00076E63" w:rsidRDefault="002B0AE9" w:rsidP="00196C9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„Приемане на предлаганите промени“</w:t>
                  </w:r>
                </w:p>
              </w:tc>
            </w:tr>
            <w:tr w:rsidR="002B0AE9" w:rsidRPr="003C124D" w:rsidTr="002B0AE9">
              <w:trPr>
                <w:trHeight w:val="1800"/>
              </w:trPr>
              <w:tc>
                <w:tcPr>
                  <w:tcW w:w="45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417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755506" w:rsidRDefault="002B0AE9" w:rsidP="007555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Изпълнение на препоръка на Инвестиционния комитет на ОИСР в съответствие с Кодексите за либерализация на ОИСР и изравняване на изискванията към чуждестранните доставчици на туристически услуги от държави-членки на ОИС, които са извън ЕС, спрямо българските доставчици на туристически ус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л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 xml:space="preserve">уги и недопускане на неравнопоставеност. </w:t>
                  </w:r>
                </w:p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B0AE9" w:rsidRPr="003C124D" w:rsidTr="002B0AE9">
              <w:trPr>
                <w:trHeight w:val="1395"/>
              </w:trPr>
              <w:tc>
                <w:tcPr>
                  <w:tcW w:w="45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417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755506" w:rsidRDefault="002B0AE9" w:rsidP="007555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Изпълнение на препоръка на Инвестиционния комитет на ОИСР в съответствие с Кодексите за либерализация на ОИСР и изравняване на изискванията към чуждестранните доставчици на туристически услуги от държави-членки на ОИС, които са извън ЕС, спрямо българските доставчици на туристически ус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л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 xml:space="preserve">уги и недопускане на неравнопоставеност. </w:t>
                  </w:r>
                </w:p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B0AE9" w:rsidRPr="003C124D" w:rsidTr="002B0AE9">
              <w:trPr>
                <w:trHeight w:val="1647"/>
              </w:trPr>
              <w:tc>
                <w:tcPr>
                  <w:tcW w:w="45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417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755506" w:rsidRDefault="002B0AE9" w:rsidP="007555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Изпълнение на препоръка на Инвестиционния комитет на ОИСР в съответствие с Кодексите за либерализация на ОИСР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и изравняване на изискванията към чуждестранните доставчици на туристически услуги от държави-членки на ОИС, които са извън ЕС, спрямо българските доставчици на туристически ус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л</w:t>
                  </w:r>
                  <w:r w:rsidRPr="00755506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 xml:space="preserve">уги и недопускане на неравнопоставеност. </w:t>
                  </w:r>
                </w:p>
                <w:p w:rsidR="002B0AE9" w:rsidRPr="00076E63" w:rsidRDefault="002B0AE9" w:rsidP="007A42D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 w:rsidRPr="00196C9B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  <w:p w:rsidR="002B0AE9" w:rsidRPr="00196C9B" w:rsidRDefault="002B0AE9" w:rsidP="00196C9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AD1DD4" w:rsidRPr="00076E63" w:rsidRDefault="00AD1DD4" w:rsidP="007A42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:rsidR="00AD1DD4" w:rsidRPr="00C93DF1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1E44FB" w:rsidRDefault="00AD1DD4" w:rsidP="00A258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При повече от един поставен проблем мултиплицирайте таблицата за всеки отделен проблем.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1E44FB" w:rsidRDefault="00AD1DD4" w:rsidP="00AD1D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 При повече от един поставен проблем мултиплицирайте таблицата за всеки отделен проблем.</w:t>
            </w:r>
          </w:p>
        </w:tc>
      </w:tr>
      <w:tr w:rsidR="00AD1DD4" w:rsidRPr="00076E63" w:rsidTr="00281F8E">
        <w:tc>
          <w:tcPr>
            <w:tcW w:w="10296" w:type="dxa"/>
            <w:gridSpan w:val="3"/>
          </w:tcPr>
          <w:p w:rsidR="00AD1DD4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  <w:r w:rsidR="00D80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473C14" w:rsidRDefault="00A258E5" w:rsidP="00A258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</w:t>
            </w:r>
            <w:r w:rsidR="00D801C1"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проблема препоръчителен вариан</w:t>
            </w:r>
            <w:r w:rsidR="004E7443" w:rsidRPr="007A42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 е приемане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допълнение на Закона за туризма</w:t>
            </w:r>
            <w:r w:rsidR="00473C1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473C14" w:rsidRDefault="00473C14" w:rsidP="00A258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сравняване на вариантите на действие се установи, че само </w:t>
            </w:r>
            <w:r w:rsidR="008946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2 осигурява ефективност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ефикастност и съгласуваност. При вариант 1 няма да бъде постигната целта. </w:t>
            </w:r>
          </w:p>
          <w:p w:rsidR="00AD1DD4" w:rsidRPr="00076E63" w:rsidRDefault="00A258E5" w:rsidP="00A258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D1DD4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AD1DD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AD1DD4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3" type="#_x0000_t75" style="width:108pt;height:18pt" o:ole="">
                  <v:imagedata r:id="rId12" o:title=""/>
                </v:shape>
                <w:control r:id="rId13" w:name="OptionButton3" w:shapeid="_x0000_i1063"/>
              </w:object>
            </w:r>
          </w:p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5" type="#_x0000_t75" style="width:108pt;height:18pt" o:ole="">
                  <v:imagedata r:id="rId14" o:title=""/>
                </v:shape>
                <w:control r:id="rId15" w:name="OptionButton4" w:shapeid="_x0000_i1065"/>
              </w:objec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7" type="#_x0000_t75" style="width:108pt;height:18pt" o:ole="">
                  <v:imagedata r:id="rId16" o:title=""/>
                </v:shape>
                <w:control r:id="rId17" w:name="OptionButton5" w:shapeid="_x0000_i1067"/>
              </w:object>
            </w:r>
          </w:p>
          <w:p w:rsidR="00741B79" w:rsidRPr="006E19B4" w:rsidRDefault="00741B79" w:rsidP="006E19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46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очакват промени в административната тежест за физическите и юридически лица, тъй като предоставянето на туристически услуги от чуждестранните туроператори, туристически агенти, хотелиери, ресторантьори, ски училища, лица, предоставящи балнолечебни (медикъл СПА), СПА, уелнес и таласотерапевтични услуги в сертифицирани центрове и лицата, които упражняват професиите „екскурзовод“, „планински водач“ и „ски  учител“, които са от държави ч</w:t>
            </w:r>
            <w:r w:rsidR="006E19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</w:t>
            </w:r>
            <w:r w:rsidRPr="008946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енки на ОИСР, които са извън ЕС</w:t>
            </w:r>
            <w:r w:rsidR="006E19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946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не е административна дейност. 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9" type="#_x0000_t75" style="width:108pt;height:18pt" o:ole="">
                  <v:imagedata r:id="rId18" o:title=""/>
                </v:shape>
                <w:control r:id="rId19" w:name="OptionButton16" w:shapeid="_x0000_i1069"/>
              </w:object>
            </w:r>
          </w:p>
          <w:p w:rsidR="006E19B4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71" type="#_x0000_t75" style="width:108pt;height:18pt" o:ole="">
                  <v:imagedata r:id="rId20" o:title=""/>
                </v:shape>
                <w:control r:id="rId21" w:name="OptionButton17" w:shapeid="_x0000_i1071"/>
              </w:object>
            </w:r>
          </w:p>
          <w:p w:rsidR="00AD1DD4" w:rsidRPr="00741B79" w:rsidRDefault="00741B79" w:rsidP="006E19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препоръчителния вариант няма до доведе до създаване или промяна на съществуващи регулаторни режими. </w:t>
            </w:r>
          </w:p>
          <w:p w:rsidR="00AD1DD4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. В случай че се </w:t>
            </w:r>
            <w:bookmarkStart w:id="0" w:name="_GoBack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измен</w:t>
            </w:r>
            <w:bookmarkEnd w:id="0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ят регулаторни режими или административни услуги, посочете промяната.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>
                <v:shape id="_x0000_i1073" type="#_x0000_t75" style="width:108pt;height:18pt" o:ole="">
                  <v:imagedata r:id="rId18" o:title=""/>
                </v:shape>
                <w:control r:id="rId22" w:name="OptionButton18" w:shapeid="_x0000_i1073"/>
              </w:object>
            </w:r>
          </w:p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75" type="#_x0000_t75" style="width:108pt;height:18pt" o:ole="">
                  <v:imagedata r:id="rId20" o:title=""/>
                </v:shape>
                <w:control r:id="rId23" w:name="OptionButton19" w:shapeid="_x0000_i1075"/>
              </w:object>
            </w:r>
          </w:p>
          <w:p w:rsidR="006E19B4" w:rsidRDefault="00741B79" w:rsidP="006E19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E19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препоръчителния вариант няма до доведе до създаване или промяна на съществуващи регистри. </w:t>
            </w:r>
          </w:p>
          <w:p w:rsidR="00AD1DD4" w:rsidRPr="00076E63" w:rsidRDefault="00AD1DD4" w:rsidP="00741B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>
                <v:shape id="_x0000_i1077" type="#_x0000_t75" style="width:259.5pt;height:18pt" o:ole="">
                  <v:imagedata r:id="rId24" o:title=""/>
                </v:shape>
                <w:control r:id="rId25" w:name="OptionButton6" w:shapeid="_x0000_i1077"/>
              </w:objec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>
                <v:shape id="_x0000_i1079" type="#_x0000_t75" style="width:161.25pt;height:18pt" o:ole="">
                  <v:imagedata r:id="rId26" o:title=""/>
                </v:shape>
                <w:control r:id="rId27" w:name="OptionButton7" w:shapeid="_x0000_i1079"/>
              </w:object>
            </w:r>
          </w:p>
          <w:p w:rsidR="00AD1DD4" w:rsidRPr="006E19B4" w:rsidRDefault="00BE7551" w:rsidP="006E19B4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6E19B4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С проекта на акт не се създава/променя административната тежест за физическите и юридическите лица, не се създават нови регулаторни режими, нито се засягат съществуващи такива и в резултат не се установява непропорционално негативно въздействие върху МСП.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A258E5" w:rsidRPr="006E19B4" w:rsidRDefault="00A258E5" w:rsidP="006E19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E19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очакват 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81" type="#_x0000_t75" style="width:498.75pt;height:18pt" o:ole="">
                  <v:imagedata r:id="rId28" o:title=""/>
                </v:shape>
                <w:control r:id="rId29" w:name="OptionButton13" w:shapeid="_x0000_i1081"/>
              </w:object>
            </w:r>
          </w:p>
          <w:p w:rsidR="00BE7551" w:rsidRDefault="0074796C" w:rsidP="006E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Проведени са консултации с</w:t>
            </w:r>
            <w:r w:rsidR="00A258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сдружения на туроператорите и туристическите агенти, </w:t>
            </w:r>
            <w:r w:rsidR="00A258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екскурзоводи и планински водачи,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вписани в Националния туристически регистър</w:t>
            </w:r>
            <w:r w:rsidR="00BE75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Детайлно е обсъждано допускът до пазара на туристически услуги на гражданите на държавите членки на ОИСР извън ЕС  до каква степен ще повлияе на конкурентоспособността на българските доставчици на туристически услуги.  Възприето е виждането, че регулаторната промяна няма потенциал да въздейства върху пазарната среда.</w:t>
            </w:r>
          </w:p>
          <w:p w:rsidR="006E19B4" w:rsidRPr="0074796C" w:rsidRDefault="006E19B4" w:rsidP="006E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Default="006E19B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AD1DD4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>
                <v:shape id="_x0000_i1083" type="#_x0000_t75" style="width:502.5pt;height:18pt" o:ole="">
                  <v:imagedata r:id="rId30" o:title=""/>
                </v:shape>
                <w:control r:id="rId31" w:name="OptionButton15" w:shapeid="_x0000_i1083"/>
              </w:object>
            </w:r>
          </w:p>
          <w:p w:rsidR="00AD1DD4" w:rsidRPr="00076E63" w:rsidRDefault="00BE7551" w:rsidP="006E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на акт ще се съгласува с всички министри и с администрацията на Министерския съвет в съответствие с чл. 32 от Устройствения правилник на Министерския съвет и неговата администрация. Проектът ще се публикува на интернет страницата на Министерството на туризма</w:t>
            </w:r>
            <w:r w:rsidR="002B1D8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 Портала за обществени консултации, съгласно изискванията на чл. 26 от Закона за нормативните актове и чл. 85 от Устройствения правилник на Министерския съвет и на неговата адм</w:t>
            </w:r>
            <w:r w:rsidR="006E19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B1D8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нистрация.  Срокът за провеждане на обществената консултация е 30 дни. </w:t>
            </w:r>
          </w:p>
          <w:p w:rsidR="006E19B4" w:rsidRDefault="006E19B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>
                <v:shape id="_x0000_i1085" type="#_x0000_t75" style="width:108pt;height:18pt" o:ole="">
                  <v:imagedata r:id="rId18" o:title=""/>
                </v:shape>
                <w:control r:id="rId32" w:name="OptionButton9" w:shapeid="_x0000_i1085"/>
              </w:objec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>
                <v:shape id="_x0000_i1087" type="#_x0000_t75" style="width:108pt;height:18pt" o:ole="">
                  <v:imagedata r:id="rId20" o:title=""/>
                </v:shape>
                <w:control r:id="rId33" w:name="OptionButton10" w:shapeid="_x0000_i1087"/>
              </w:object>
            </w:r>
          </w:p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>
                <v:shape id="_x0000_i1089" type="#_x0000_t75" style="width:108pt;height:18pt" o:ole="">
                  <v:imagedata r:id="rId18" o:title=""/>
                </v:shape>
                <w:control r:id="rId34" w:name="OptionButton20" w:shapeid="_x0000_i1089"/>
              </w:object>
            </w:r>
          </w:p>
          <w:p w:rsidR="00AD1DD4" w:rsidRPr="00076E63" w:rsidRDefault="00AD1DD4" w:rsidP="00AD1DD4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>
                <v:shape id="_x0000_i1091" type="#_x0000_t75" style="width:108pt;height:18pt" o:ole="">
                  <v:imagedata r:id="rId20" o:title=""/>
                </v:shape>
                <w:control r:id="rId35" w:name="OptionButton21" w:shapeid="_x0000_i1091"/>
              </w:objec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AD1DD4" w:rsidRPr="00076E63" w:rsidRDefault="00AD1DD4" w:rsidP="00AD1D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:rsidR="00797434" w:rsidRDefault="00A42CDF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36" w:history="1">
              <w:r w:rsidR="00DB2A49" w:rsidRPr="00840DF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https://dv.parliament.bg/DVWeb/showMaterialDV.jsp?idMat=136591</w:t>
              </w:r>
            </w:hyperlink>
          </w:p>
          <w:p w:rsidR="00797434" w:rsidRPr="00797434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974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Кодекс за либерализиране на движението на капитали</w:t>
            </w:r>
          </w:p>
          <w:p w:rsidR="00797434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974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Кодекс за либерализиране на текущите невидими операции на ОИСР</w:t>
            </w:r>
          </w:p>
          <w:p w:rsidR="006E19B4" w:rsidRDefault="00797434" w:rsidP="006E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 за туризма </w:t>
            </w:r>
          </w:p>
          <w:p w:rsidR="006E19B4" w:rsidRDefault="006E19B4" w:rsidP="006E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D1DD4" w:rsidRPr="00076E63" w:rsidRDefault="00AD1DD4" w:rsidP="006E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AD1DD4" w:rsidRPr="003C124D" w:rsidTr="00281F8E">
        <w:tc>
          <w:tcPr>
            <w:tcW w:w="10296" w:type="dxa"/>
            <w:gridSpan w:val="3"/>
          </w:tcPr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AD1DD4" w:rsidRPr="00076E63" w:rsidRDefault="00AD1DD4" w:rsidP="00AD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258E5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="00A25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Мая Никовска, директор на дирекция „Туристическа политика“</w:t>
            </w:r>
          </w:p>
          <w:p w:rsidR="00BE6CEB" w:rsidRDefault="00A258E5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</w:t>
            </w:r>
            <w:r w:rsidR="00AD1DD4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ата:   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…</w:t>
            </w:r>
          </w:p>
          <w:p w:rsidR="00AD1DD4" w:rsidRPr="00076E63" w:rsidRDefault="00AD1DD4" w:rsidP="00AD1D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37"/>
      <w:footerReference w:type="default" r:id="rId38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88" w:rsidRDefault="00192588">
      <w:pPr>
        <w:spacing w:after="0" w:line="240" w:lineRule="auto"/>
      </w:pPr>
      <w:r>
        <w:separator/>
      </w:r>
    </w:p>
  </w:endnote>
  <w:endnote w:type="continuationSeparator" w:id="0">
    <w:p w:rsidR="00192588" w:rsidRDefault="0019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88" w:rsidRPr="003E3642" w:rsidRDefault="00192588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A42CDF">
      <w:rPr>
        <w:rFonts w:ascii="Times New Roman" w:hAnsi="Times New Roman"/>
        <w:noProof/>
      </w:rPr>
      <w:t>9</w:t>
    </w:r>
    <w:r w:rsidRPr="003E3642">
      <w:rPr>
        <w:rFonts w:ascii="Times New Roman" w:hAnsi="Times New Roman"/>
        <w:noProof/>
      </w:rPr>
      <w:fldChar w:fldCharType="end"/>
    </w:r>
  </w:p>
  <w:p w:rsidR="00192588" w:rsidRDefault="0019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88" w:rsidRDefault="00192588">
      <w:pPr>
        <w:spacing w:after="0" w:line="240" w:lineRule="auto"/>
      </w:pPr>
      <w:r>
        <w:separator/>
      </w:r>
    </w:p>
  </w:footnote>
  <w:footnote w:type="continuationSeparator" w:id="0">
    <w:p w:rsidR="00192588" w:rsidRDefault="0019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88" w:rsidRDefault="00192588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92588" w:rsidRDefault="00192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1C4"/>
    <w:multiLevelType w:val="hybridMultilevel"/>
    <w:tmpl w:val="AC9E9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2139"/>
    <w:multiLevelType w:val="hybridMultilevel"/>
    <w:tmpl w:val="75EAFF8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52B7"/>
    <w:multiLevelType w:val="hybridMultilevel"/>
    <w:tmpl w:val="DEA851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821353C"/>
    <w:multiLevelType w:val="multilevel"/>
    <w:tmpl w:val="DD3E3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8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9" w15:restartNumberingAfterBreak="0">
    <w:nsid w:val="4394385A"/>
    <w:multiLevelType w:val="multilevel"/>
    <w:tmpl w:val="39CEE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E2B"/>
    <w:multiLevelType w:val="hybridMultilevel"/>
    <w:tmpl w:val="3028E500"/>
    <w:lvl w:ilvl="0" w:tplc="44222A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0633"/>
    <w:multiLevelType w:val="hybridMultilevel"/>
    <w:tmpl w:val="13807E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5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6" w15:restartNumberingAfterBreak="0">
    <w:nsid w:val="7A73507D"/>
    <w:multiLevelType w:val="multilevel"/>
    <w:tmpl w:val="20CEC3F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84"/>
    <w:rsid w:val="00002C2B"/>
    <w:rsid w:val="00003D40"/>
    <w:rsid w:val="0000495C"/>
    <w:rsid w:val="00004B97"/>
    <w:rsid w:val="00015CD1"/>
    <w:rsid w:val="00026FDE"/>
    <w:rsid w:val="00042D08"/>
    <w:rsid w:val="000569DB"/>
    <w:rsid w:val="00064387"/>
    <w:rsid w:val="00064CC7"/>
    <w:rsid w:val="0007311B"/>
    <w:rsid w:val="00076E63"/>
    <w:rsid w:val="00091E14"/>
    <w:rsid w:val="000A1BC7"/>
    <w:rsid w:val="000A2E06"/>
    <w:rsid w:val="000F5DB5"/>
    <w:rsid w:val="0010533E"/>
    <w:rsid w:val="001138D1"/>
    <w:rsid w:val="00153946"/>
    <w:rsid w:val="001577A1"/>
    <w:rsid w:val="00192588"/>
    <w:rsid w:val="00196C9B"/>
    <w:rsid w:val="001E44FB"/>
    <w:rsid w:val="001E456A"/>
    <w:rsid w:val="001F756C"/>
    <w:rsid w:val="00225917"/>
    <w:rsid w:val="0024109E"/>
    <w:rsid w:val="00272DD5"/>
    <w:rsid w:val="00281F8E"/>
    <w:rsid w:val="00291E82"/>
    <w:rsid w:val="002B0AE9"/>
    <w:rsid w:val="002B1D81"/>
    <w:rsid w:val="002D3530"/>
    <w:rsid w:val="002D5B40"/>
    <w:rsid w:val="00300FA8"/>
    <w:rsid w:val="00313CA9"/>
    <w:rsid w:val="00345091"/>
    <w:rsid w:val="0034619C"/>
    <w:rsid w:val="00347FA3"/>
    <w:rsid w:val="003669F8"/>
    <w:rsid w:val="003A2D91"/>
    <w:rsid w:val="003A44C1"/>
    <w:rsid w:val="003A7F21"/>
    <w:rsid w:val="003C0DD3"/>
    <w:rsid w:val="003C124D"/>
    <w:rsid w:val="003C5FAD"/>
    <w:rsid w:val="00402BFB"/>
    <w:rsid w:val="00443F54"/>
    <w:rsid w:val="00473C14"/>
    <w:rsid w:val="00486182"/>
    <w:rsid w:val="00496456"/>
    <w:rsid w:val="004A5578"/>
    <w:rsid w:val="004B5682"/>
    <w:rsid w:val="004D35FB"/>
    <w:rsid w:val="004D53B5"/>
    <w:rsid w:val="004D6B44"/>
    <w:rsid w:val="004E4FD6"/>
    <w:rsid w:val="004E7443"/>
    <w:rsid w:val="004F1C8E"/>
    <w:rsid w:val="00503482"/>
    <w:rsid w:val="00512211"/>
    <w:rsid w:val="005305F7"/>
    <w:rsid w:val="00546F84"/>
    <w:rsid w:val="005523D0"/>
    <w:rsid w:val="005A7F37"/>
    <w:rsid w:val="005C68B4"/>
    <w:rsid w:val="005D70D2"/>
    <w:rsid w:val="0060089B"/>
    <w:rsid w:val="00671D5F"/>
    <w:rsid w:val="006A5E20"/>
    <w:rsid w:val="006B4F48"/>
    <w:rsid w:val="006C5776"/>
    <w:rsid w:val="006D7984"/>
    <w:rsid w:val="006E19B4"/>
    <w:rsid w:val="006E5BDA"/>
    <w:rsid w:val="007108A0"/>
    <w:rsid w:val="00720C0D"/>
    <w:rsid w:val="00736A82"/>
    <w:rsid w:val="00741B79"/>
    <w:rsid w:val="00746793"/>
    <w:rsid w:val="0074796C"/>
    <w:rsid w:val="00752399"/>
    <w:rsid w:val="00755506"/>
    <w:rsid w:val="0078311F"/>
    <w:rsid w:val="0079474E"/>
    <w:rsid w:val="00797434"/>
    <w:rsid w:val="007A42D1"/>
    <w:rsid w:val="007C4C87"/>
    <w:rsid w:val="007D7FF7"/>
    <w:rsid w:val="007E11B3"/>
    <w:rsid w:val="00813D74"/>
    <w:rsid w:val="00817B8B"/>
    <w:rsid w:val="00820B7B"/>
    <w:rsid w:val="0083216F"/>
    <w:rsid w:val="0089464A"/>
    <w:rsid w:val="008F6120"/>
    <w:rsid w:val="00936A64"/>
    <w:rsid w:val="00951317"/>
    <w:rsid w:val="009522BB"/>
    <w:rsid w:val="009546F1"/>
    <w:rsid w:val="009830BD"/>
    <w:rsid w:val="009B13A5"/>
    <w:rsid w:val="009D4DA5"/>
    <w:rsid w:val="00A0603C"/>
    <w:rsid w:val="00A23AC5"/>
    <w:rsid w:val="00A258E5"/>
    <w:rsid w:val="00A42CDF"/>
    <w:rsid w:val="00A71432"/>
    <w:rsid w:val="00AA0130"/>
    <w:rsid w:val="00AA5359"/>
    <w:rsid w:val="00AB106D"/>
    <w:rsid w:val="00AC5055"/>
    <w:rsid w:val="00AD1DD4"/>
    <w:rsid w:val="00AD3C41"/>
    <w:rsid w:val="00AE0B89"/>
    <w:rsid w:val="00AE168A"/>
    <w:rsid w:val="00B132C1"/>
    <w:rsid w:val="00B210E6"/>
    <w:rsid w:val="00B27B14"/>
    <w:rsid w:val="00B722F7"/>
    <w:rsid w:val="00B93386"/>
    <w:rsid w:val="00BD6559"/>
    <w:rsid w:val="00BE6CEB"/>
    <w:rsid w:val="00BE7551"/>
    <w:rsid w:val="00C02F30"/>
    <w:rsid w:val="00C3182A"/>
    <w:rsid w:val="00C40BCF"/>
    <w:rsid w:val="00C41068"/>
    <w:rsid w:val="00C64BB6"/>
    <w:rsid w:val="00C81EAD"/>
    <w:rsid w:val="00C84C77"/>
    <w:rsid w:val="00C93DF1"/>
    <w:rsid w:val="00C9730C"/>
    <w:rsid w:val="00CB1671"/>
    <w:rsid w:val="00D042B1"/>
    <w:rsid w:val="00D52A70"/>
    <w:rsid w:val="00D52B91"/>
    <w:rsid w:val="00D607FE"/>
    <w:rsid w:val="00D801C1"/>
    <w:rsid w:val="00D82CFD"/>
    <w:rsid w:val="00DB2A49"/>
    <w:rsid w:val="00DB5149"/>
    <w:rsid w:val="00DC092D"/>
    <w:rsid w:val="00DC0B64"/>
    <w:rsid w:val="00DC125D"/>
    <w:rsid w:val="00DE5BB3"/>
    <w:rsid w:val="00DF16C5"/>
    <w:rsid w:val="00DF504A"/>
    <w:rsid w:val="00E16D01"/>
    <w:rsid w:val="00E44DE0"/>
    <w:rsid w:val="00E653D3"/>
    <w:rsid w:val="00E65509"/>
    <w:rsid w:val="00E80A2B"/>
    <w:rsid w:val="00E80C1A"/>
    <w:rsid w:val="00EB5464"/>
    <w:rsid w:val="00EB7DBD"/>
    <w:rsid w:val="00EC7804"/>
    <w:rsid w:val="00ED679D"/>
    <w:rsid w:val="00ED790A"/>
    <w:rsid w:val="00F04B4E"/>
    <w:rsid w:val="00F16E3F"/>
    <w:rsid w:val="00F21F53"/>
    <w:rsid w:val="00F51681"/>
    <w:rsid w:val="00F6109D"/>
    <w:rsid w:val="00F8508C"/>
    <w:rsid w:val="00F87F7B"/>
    <w:rsid w:val="00F97AFA"/>
    <w:rsid w:val="00FC4097"/>
    <w:rsid w:val="00FD0217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5A2030E"/>
  <w15:docId w15:val="{705CF141-5EDA-492D-A556-E6C842D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hyperlink" Target="https://dv.parliament.bg/DVWeb/showMaterialDV.jsp?idMat=136591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9B69-F394-4990-BB92-5003AEB3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10</Pages>
  <Words>4381</Words>
  <Characters>24976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Admin</cp:lastModifiedBy>
  <cp:revision>43</cp:revision>
  <cp:lastPrinted>2025-05-09T13:36:00Z</cp:lastPrinted>
  <dcterms:created xsi:type="dcterms:W3CDTF">2024-06-21T20:22:00Z</dcterms:created>
  <dcterms:modified xsi:type="dcterms:W3CDTF">2025-05-09T14:33:00Z</dcterms:modified>
</cp:coreProperties>
</file>