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32A" w:rsidRDefault="0005032A" w:rsidP="0005032A">
      <w:pPr>
        <w:spacing w:after="0"/>
        <w:ind w:left="6373" w:firstLine="709"/>
        <w:rPr>
          <w:b/>
        </w:rPr>
      </w:pPr>
      <w:bookmarkStart w:id="0" w:name="_GoBack"/>
      <w:bookmarkEnd w:id="0"/>
    </w:p>
    <w:p w:rsidR="0005032A" w:rsidRDefault="0005032A" w:rsidP="0005032A">
      <w:pPr>
        <w:spacing w:after="0"/>
        <w:ind w:left="5664" w:firstLine="708"/>
      </w:pPr>
      <w:r w:rsidRPr="0005032A">
        <w:t>Брюксел 24.07.2020</w:t>
      </w:r>
      <w:r w:rsidR="00AE359E">
        <w:t xml:space="preserve"> г.</w:t>
      </w:r>
    </w:p>
    <w:p w:rsidR="0005032A" w:rsidRDefault="0005032A" w:rsidP="0005032A">
      <w:pPr>
        <w:spacing w:after="0"/>
        <w:ind w:left="5665" w:firstLine="708"/>
      </w:pPr>
      <w:r>
        <w:t>C(2020) 5207 final</w:t>
      </w:r>
    </w:p>
    <w:p w:rsidR="0005032A" w:rsidRDefault="0005032A" w:rsidP="0005032A">
      <w:pPr>
        <w:spacing w:after="0"/>
        <w:ind w:left="6373"/>
      </w:pPr>
    </w:p>
    <w:p w:rsidR="0005032A" w:rsidRDefault="0005032A" w:rsidP="0005032A">
      <w:pPr>
        <w:spacing w:after="0"/>
        <w:ind w:left="4248" w:firstLine="708"/>
      </w:pPr>
      <w:r w:rsidRPr="0005032A">
        <w:rPr>
          <w:b/>
        </w:rPr>
        <w:t>ЧУВСТВИТЕЛНО*</w:t>
      </w:r>
      <w:r>
        <w:t xml:space="preserve"> : COMP Операции</w:t>
      </w:r>
    </w:p>
    <w:p w:rsidR="0005032A" w:rsidRDefault="0005032A" w:rsidP="0005032A">
      <w:pPr>
        <w:spacing w:after="0"/>
      </w:pPr>
    </w:p>
    <w:p w:rsidR="0005032A" w:rsidRPr="0005032A" w:rsidRDefault="0005032A" w:rsidP="0005032A">
      <w:pPr>
        <w:spacing w:after="0"/>
        <w:rPr>
          <w:b/>
        </w:rPr>
      </w:pPr>
      <w:r w:rsidRPr="0005032A">
        <w:rPr>
          <w:b/>
        </w:rPr>
        <w:t>Относно: Държавна помощ SA.58050 (2020/N) - България</w:t>
      </w:r>
    </w:p>
    <w:p w:rsidR="0005032A" w:rsidRDefault="0005032A" w:rsidP="0005032A">
      <w:pPr>
        <w:spacing w:after="0"/>
        <w:rPr>
          <w:b/>
        </w:rPr>
      </w:pPr>
      <w:r>
        <w:rPr>
          <w:b/>
        </w:rPr>
        <w:t xml:space="preserve">                  </w:t>
      </w:r>
      <w:r w:rsidRPr="0005032A">
        <w:rPr>
          <w:b/>
        </w:rPr>
        <w:t>COVID-19: Държавна помощ за туроператори</w:t>
      </w:r>
    </w:p>
    <w:p w:rsidR="0005032A" w:rsidRDefault="0005032A" w:rsidP="0005032A">
      <w:pPr>
        <w:spacing w:after="0"/>
        <w:rPr>
          <w:b/>
        </w:rPr>
      </w:pPr>
    </w:p>
    <w:p w:rsidR="0005032A" w:rsidRPr="0005032A" w:rsidRDefault="0005032A" w:rsidP="0005032A">
      <w:pPr>
        <w:spacing w:after="0"/>
        <w:rPr>
          <w:b/>
        </w:rPr>
      </w:pPr>
    </w:p>
    <w:p w:rsidR="0005032A" w:rsidRDefault="000E5866" w:rsidP="0005032A">
      <w:pPr>
        <w:spacing w:after="0"/>
      </w:pPr>
      <w:r>
        <w:t xml:space="preserve">Ваше </w:t>
      </w:r>
      <w:r w:rsidR="0005032A">
        <w:t>Превъзходителство,</w:t>
      </w:r>
    </w:p>
    <w:p w:rsidR="0005032A" w:rsidRPr="0005032A" w:rsidRDefault="0005032A" w:rsidP="0005032A">
      <w:pPr>
        <w:spacing w:after="0"/>
        <w:ind w:left="4248" w:firstLine="708"/>
        <w:rPr>
          <w:b/>
        </w:rPr>
      </w:pPr>
    </w:p>
    <w:p w:rsidR="0005032A" w:rsidRPr="0005032A" w:rsidRDefault="0005032A" w:rsidP="0005032A">
      <w:pPr>
        <w:pStyle w:val="ListParagraph"/>
        <w:numPr>
          <w:ilvl w:val="0"/>
          <w:numId w:val="1"/>
        </w:numPr>
        <w:spacing w:after="0"/>
        <w:rPr>
          <w:b/>
        </w:rPr>
      </w:pPr>
      <w:r w:rsidRPr="0005032A">
        <w:rPr>
          <w:b/>
        </w:rPr>
        <w:t>ПРОЦЕДУРА</w:t>
      </w:r>
    </w:p>
    <w:p w:rsidR="0005032A" w:rsidRDefault="0005032A" w:rsidP="0005032A">
      <w:pPr>
        <w:pStyle w:val="ListParagraph"/>
        <w:spacing w:after="0"/>
      </w:pPr>
    </w:p>
    <w:p w:rsidR="0005032A" w:rsidRPr="000E5866" w:rsidRDefault="0005032A" w:rsidP="0005032A">
      <w:pPr>
        <w:pStyle w:val="ListParagraph"/>
        <w:numPr>
          <w:ilvl w:val="0"/>
          <w:numId w:val="2"/>
        </w:numPr>
        <w:spacing w:after="0"/>
        <w:jc w:val="both"/>
        <w:rPr>
          <w:rFonts w:cstheme="minorHAnsi"/>
        </w:rPr>
      </w:pPr>
      <w:r w:rsidRPr="0005032A">
        <w:rPr>
          <w:rFonts w:cstheme="minorHAnsi"/>
        </w:rPr>
        <w:t xml:space="preserve">Чрез електронно уведомление от 16 юли 2020 г. България уведоми </w:t>
      </w:r>
      <w:r>
        <w:rPr>
          <w:rFonts w:cstheme="minorHAnsi"/>
        </w:rPr>
        <w:t xml:space="preserve">относно </w:t>
      </w:r>
      <w:r w:rsidRPr="0005032A">
        <w:rPr>
          <w:rFonts w:cstheme="minorHAnsi"/>
        </w:rPr>
        <w:t xml:space="preserve">помощ под формата на директни безвъзмездни средства (съгласно член 26 от Закона за мерките и действията по време на извънредно положение; „мярката“ или „схемата“) по </w:t>
      </w:r>
      <w:r w:rsidRPr="000E5866">
        <w:rPr>
          <w:rStyle w:val="Emphasis"/>
          <w:rFonts w:cstheme="minorHAnsi"/>
          <w:bCs/>
          <w:i w:val="0"/>
          <w:iCs w:val="0"/>
          <w:shd w:val="clear" w:color="auto" w:fill="FFFFFF"/>
        </w:rPr>
        <w:t>Временната рамка за мерки за държавна помощ</w:t>
      </w:r>
      <w:r w:rsidRPr="000E5866">
        <w:rPr>
          <w:rFonts w:cstheme="minorHAnsi"/>
          <w:shd w:val="clear" w:color="auto" w:fill="FFFFFF"/>
        </w:rPr>
        <w:t> в подкрепа на </w:t>
      </w:r>
      <w:r w:rsidRPr="000E5866">
        <w:rPr>
          <w:rStyle w:val="Emphasis"/>
          <w:rFonts w:cstheme="minorHAnsi"/>
          <w:bCs/>
          <w:i w:val="0"/>
          <w:iCs w:val="0"/>
          <w:shd w:val="clear" w:color="auto" w:fill="FFFFFF"/>
        </w:rPr>
        <w:t>икономиката</w:t>
      </w:r>
      <w:r w:rsidRPr="000E5866">
        <w:rPr>
          <w:rFonts w:cstheme="minorHAnsi"/>
          <w:shd w:val="clear" w:color="auto" w:fill="FFFFFF"/>
        </w:rPr>
        <w:t> в условията на сегашния епидемичен взрив от </w:t>
      </w:r>
      <w:r w:rsidRPr="000E5866">
        <w:rPr>
          <w:rStyle w:val="Emphasis"/>
          <w:rFonts w:cstheme="minorHAnsi"/>
          <w:bCs/>
          <w:i w:val="0"/>
          <w:iCs w:val="0"/>
          <w:shd w:val="clear" w:color="auto" w:fill="FFFFFF"/>
        </w:rPr>
        <w:t>COVID-19</w:t>
      </w:r>
      <w:r w:rsidRPr="000E5866">
        <w:rPr>
          <w:rFonts w:cstheme="minorHAnsi"/>
          <w:shd w:val="clear" w:color="auto" w:fill="FFFFFF"/>
        </w:rPr>
        <w:t> </w:t>
      </w:r>
      <w:r w:rsidRPr="000E5866">
        <w:rPr>
          <w:rFonts w:cstheme="minorHAnsi"/>
        </w:rPr>
        <w:t>, изменено („Временната рамка“).</w:t>
      </w:r>
      <w:r w:rsidRPr="000E5866">
        <w:rPr>
          <w:rStyle w:val="FootnoteReference"/>
          <w:rFonts w:cstheme="minorHAnsi"/>
        </w:rPr>
        <w:footnoteReference w:id="1"/>
      </w:r>
    </w:p>
    <w:p w:rsidR="0005032A" w:rsidRDefault="0005032A" w:rsidP="0005032A">
      <w:pPr>
        <w:pStyle w:val="ListParagraph"/>
        <w:spacing w:after="0"/>
      </w:pPr>
    </w:p>
    <w:p w:rsidR="0005032A" w:rsidRDefault="009152E4" w:rsidP="0005032A">
      <w:pPr>
        <w:pStyle w:val="ListParagraph"/>
        <w:numPr>
          <w:ilvl w:val="0"/>
          <w:numId w:val="2"/>
        </w:numPr>
        <w:spacing w:after="0"/>
        <w:jc w:val="both"/>
      </w:pPr>
      <w:r>
        <w:t>България изключително</w:t>
      </w:r>
      <w:r w:rsidR="0005032A">
        <w:t xml:space="preserve"> се съгласява да се откаже от правата си, произтичащи от член 342 от Договора за функционирането на Европейския съюз (ДФЕС) във връзка с член 3 от Регламент 1/1958</w:t>
      </w:r>
      <w:r w:rsidR="000E5866">
        <w:rPr>
          <w:rStyle w:val="FootnoteReference"/>
        </w:rPr>
        <w:footnoteReference w:id="2"/>
      </w:r>
      <w:r w:rsidR="0005032A">
        <w:t xml:space="preserve"> и да приеме и уведоми за настоящото решение на английски език.</w:t>
      </w:r>
    </w:p>
    <w:p w:rsidR="0005032A" w:rsidRDefault="0005032A" w:rsidP="0005032A">
      <w:pPr>
        <w:pStyle w:val="ListParagraph"/>
      </w:pPr>
    </w:p>
    <w:p w:rsidR="000E5866" w:rsidRDefault="000E5866" w:rsidP="0005032A">
      <w:pPr>
        <w:pStyle w:val="ListParagraph"/>
        <w:spacing w:after="0"/>
      </w:pPr>
      <w:r>
        <w:t xml:space="preserve">Екатерина ЗАХАРИЕВА </w:t>
      </w:r>
    </w:p>
    <w:p w:rsidR="000E5866" w:rsidRDefault="000E5866" w:rsidP="0005032A">
      <w:pPr>
        <w:pStyle w:val="ListParagraph"/>
        <w:spacing w:after="0"/>
      </w:pPr>
      <w:r>
        <w:t xml:space="preserve">Министър на външните работи </w:t>
      </w:r>
    </w:p>
    <w:p w:rsidR="000E5866" w:rsidRDefault="000E5866" w:rsidP="0005032A">
      <w:pPr>
        <w:pStyle w:val="ListParagraph"/>
        <w:spacing w:after="0"/>
      </w:pPr>
      <w:r>
        <w:lastRenderedPageBreak/>
        <w:t xml:space="preserve">ул. „Ал. Жендов“ № 2 </w:t>
      </w:r>
    </w:p>
    <w:p w:rsidR="000E5866" w:rsidRDefault="000E5866" w:rsidP="0005032A">
      <w:pPr>
        <w:pStyle w:val="ListParagraph"/>
        <w:spacing w:after="0"/>
      </w:pPr>
      <w:r>
        <w:t xml:space="preserve">1113 СОФИЯ/Sofia </w:t>
      </w:r>
    </w:p>
    <w:p w:rsidR="0005032A" w:rsidRDefault="000E5866" w:rsidP="0005032A">
      <w:pPr>
        <w:pStyle w:val="ListParagraph"/>
        <w:spacing w:after="0"/>
      </w:pPr>
      <w:r>
        <w:t>БЪЛГАРИЯ/BULGARIE</w:t>
      </w:r>
    </w:p>
    <w:p w:rsidR="000E5866" w:rsidRDefault="000E5866" w:rsidP="0005032A">
      <w:pPr>
        <w:pStyle w:val="ListParagraph"/>
        <w:spacing w:after="0"/>
      </w:pPr>
    </w:p>
    <w:p w:rsidR="000E5866" w:rsidRDefault="000E5866" w:rsidP="0005032A">
      <w:pPr>
        <w:pStyle w:val="ListParagraph"/>
        <w:spacing w:after="0"/>
      </w:pPr>
    </w:p>
    <w:p w:rsidR="000E5866" w:rsidRDefault="000E5866" w:rsidP="0005032A">
      <w:pPr>
        <w:pStyle w:val="ListParagraph"/>
        <w:spacing w:after="0"/>
      </w:pPr>
    </w:p>
    <w:p w:rsidR="000E5866" w:rsidRDefault="000E5866" w:rsidP="0005032A">
      <w:pPr>
        <w:pStyle w:val="ListParagraph"/>
        <w:spacing w:after="0"/>
      </w:pPr>
    </w:p>
    <w:p w:rsidR="000E5866" w:rsidRDefault="00E60339" w:rsidP="000E5866">
      <w:pPr>
        <w:pStyle w:val="ListParagraph"/>
        <w:numPr>
          <w:ilvl w:val="0"/>
          <w:numId w:val="1"/>
        </w:numPr>
        <w:spacing w:after="0"/>
        <w:rPr>
          <w:b/>
        </w:rPr>
      </w:pPr>
      <w:r>
        <w:rPr>
          <w:b/>
        </w:rPr>
        <w:t>ОПИСАНИЕ НА МЯ</w:t>
      </w:r>
      <w:r w:rsidR="000E5866" w:rsidRPr="000E5866">
        <w:rPr>
          <w:b/>
        </w:rPr>
        <w:t>РКАТА</w:t>
      </w:r>
    </w:p>
    <w:p w:rsidR="000E5866" w:rsidRDefault="000E5866" w:rsidP="000E5866">
      <w:pPr>
        <w:pStyle w:val="ListParagraph"/>
        <w:spacing w:after="0"/>
        <w:rPr>
          <w:b/>
        </w:rPr>
      </w:pPr>
    </w:p>
    <w:p w:rsidR="000E5866" w:rsidRDefault="000E5866" w:rsidP="000E5866">
      <w:pPr>
        <w:pStyle w:val="ListParagraph"/>
        <w:numPr>
          <w:ilvl w:val="0"/>
          <w:numId w:val="2"/>
        </w:numPr>
        <w:spacing w:after="0"/>
        <w:jc w:val="both"/>
      </w:pPr>
      <w:r w:rsidRPr="000E5866">
        <w:t>България счита, че огнището на COVID-19 е започнало да оказва влияние върху реалната икономика. Според българските власти през тази година се очаква БВП на България да намалее реално с 3%, което ще се прояви по много начини: намаляване на инвестициите и износа, както и отрицателно въздействие върху заетостта и инфлацията.</w:t>
      </w:r>
    </w:p>
    <w:p w:rsidR="000E5866" w:rsidRPr="000E5866" w:rsidRDefault="000E5866" w:rsidP="000E5866">
      <w:pPr>
        <w:pStyle w:val="ListParagraph"/>
        <w:spacing w:after="0"/>
        <w:jc w:val="both"/>
      </w:pPr>
    </w:p>
    <w:p w:rsidR="000E5866" w:rsidRDefault="000E5866" w:rsidP="000E5866">
      <w:pPr>
        <w:pStyle w:val="ListParagraph"/>
        <w:numPr>
          <w:ilvl w:val="0"/>
          <w:numId w:val="2"/>
        </w:numPr>
        <w:spacing w:after="0"/>
        <w:jc w:val="both"/>
      </w:pPr>
      <w:r w:rsidRPr="000E5866">
        <w:t>Поради бързото разпространение на пандемията COVID-19, на 13 март 2020 г. българското правителство обяви извънредно положение. И входящият, и вътрешният туризъм бяха спрени. В резултат на това туроператорите бяха длъжни да анулират всички полети до и в рамките на България до 13 май 2020 г. включително.</w:t>
      </w:r>
    </w:p>
    <w:p w:rsidR="000E5866" w:rsidRPr="000E5866" w:rsidRDefault="000E5866" w:rsidP="000E5866">
      <w:pPr>
        <w:pStyle w:val="ListParagraph"/>
        <w:spacing w:after="0"/>
        <w:jc w:val="both"/>
      </w:pPr>
    </w:p>
    <w:p w:rsidR="000E5866" w:rsidRDefault="000E5866" w:rsidP="000E5866">
      <w:pPr>
        <w:pStyle w:val="ListParagraph"/>
        <w:numPr>
          <w:ilvl w:val="0"/>
          <w:numId w:val="2"/>
        </w:numPr>
        <w:spacing w:after="0"/>
        <w:jc w:val="both"/>
      </w:pPr>
      <w:r w:rsidRPr="000E5866">
        <w:t>Българските власти обясниха, че българската икономика е силно зависима от чуждестранните пазари, докато в икономиките на други страни съществуват ограничения за пътуване и икономически смущения. Според българските власти туризмът представлява 10,8% от БВП на България и е особено силно засегнат, като прогнозният спад на чартърите и редовните полети, кацащи в България, е 42% през летния сезон 2020.</w:t>
      </w:r>
    </w:p>
    <w:p w:rsidR="000E5866" w:rsidRPr="000E5866" w:rsidRDefault="000E5866" w:rsidP="000E5866">
      <w:pPr>
        <w:pStyle w:val="ListParagraph"/>
        <w:spacing w:after="0"/>
        <w:jc w:val="both"/>
      </w:pPr>
    </w:p>
    <w:p w:rsidR="000E5866" w:rsidRDefault="000E5866" w:rsidP="000E5866">
      <w:pPr>
        <w:pStyle w:val="ListParagraph"/>
        <w:numPr>
          <w:ilvl w:val="0"/>
          <w:numId w:val="2"/>
        </w:numPr>
        <w:spacing w:after="0"/>
        <w:jc w:val="both"/>
      </w:pPr>
      <w:r w:rsidRPr="000E5866">
        <w:t>В този контекст и в рамките на мярката туроператорите имат право да получат 35 евро на пътник, който предприема полет в България чрез пакетна екскурзия, резервирана при този туроператор. Помощта се</w:t>
      </w:r>
      <w:r w:rsidR="001B0410">
        <w:t xml:space="preserve"> отпуска под формата на директНА</w:t>
      </w:r>
      <w:r w:rsidRPr="000E5866">
        <w:t xml:space="preserve"> субсидия. Подкрепяйки туроператорите, ц</w:t>
      </w:r>
      <w:r w:rsidR="001B0410">
        <w:t>елта на мярката е да стимулира входящия</w:t>
      </w:r>
      <w:r w:rsidRPr="000E5866">
        <w:t xml:space="preserve"> туризъм с благоприятни косвени ефек</w:t>
      </w:r>
      <w:r>
        <w:t xml:space="preserve">ти в много области като хотели, </w:t>
      </w:r>
      <w:r w:rsidRPr="000E5866">
        <w:t>ресторанти, хранително-вкусовата промишленост, транспортните, културните и спортните събития.</w:t>
      </w:r>
    </w:p>
    <w:p w:rsidR="000E5866" w:rsidRPr="000E5866" w:rsidRDefault="000E5866" w:rsidP="000E5866">
      <w:pPr>
        <w:pStyle w:val="ListParagraph"/>
        <w:spacing w:after="0"/>
        <w:jc w:val="both"/>
      </w:pPr>
    </w:p>
    <w:p w:rsidR="000E5866" w:rsidRDefault="000E5866" w:rsidP="000E5866">
      <w:pPr>
        <w:pStyle w:val="ListParagraph"/>
        <w:numPr>
          <w:ilvl w:val="0"/>
          <w:numId w:val="2"/>
        </w:numPr>
        <w:spacing w:after="0"/>
        <w:jc w:val="both"/>
      </w:pPr>
      <w:r w:rsidRPr="000E5866">
        <w:t>Мярката представлява част от цялостния пакет от мерки и има за цел да осигури наличие на достатъчна ликвидност на пазара, за да се противодейства на недостига на ликвидност, с който се сблъскват предприятията поради избухването</w:t>
      </w:r>
      <w:r w:rsidR="001B0410">
        <w:t xml:space="preserve"> на епидемията</w:t>
      </w:r>
      <w:r w:rsidRPr="000E5866">
        <w:t>, за да се гарантира, че прекъсванията, причинени от</w:t>
      </w:r>
      <w:r w:rsidR="001B0410">
        <w:t xml:space="preserve"> избухване на епидемията</w:t>
      </w:r>
      <w:r w:rsidRPr="000E5866">
        <w:t xml:space="preserve">, не подкопават жизнеспособността на предприятията </w:t>
      </w:r>
      <w:r w:rsidRPr="000E5866">
        <w:lastRenderedPageBreak/>
        <w:t>и по този начин запазват непрекъснатостта на икономическата дейност по време и след избухването.</w:t>
      </w:r>
    </w:p>
    <w:p w:rsidR="000E5866" w:rsidRPr="000E5866" w:rsidRDefault="000E5866" w:rsidP="000E5866">
      <w:pPr>
        <w:pStyle w:val="ListParagraph"/>
        <w:spacing w:after="0"/>
        <w:jc w:val="both"/>
      </w:pPr>
    </w:p>
    <w:p w:rsidR="001B0410" w:rsidRDefault="000E5866" w:rsidP="001B0410">
      <w:pPr>
        <w:pStyle w:val="ListParagraph"/>
        <w:numPr>
          <w:ilvl w:val="0"/>
          <w:numId w:val="2"/>
        </w:numPr>
        <w:spacing w:after="0"/>
        <w:jc w:val="both"/>
      </w:pPr>
      <w:r w:rsidRPr="000E5866">
        <w:t>България потвърди, че помощта по мярката не е обусловена от преместване на производствена дейност или друга дейност на бенефициента от друга държава в рамките на ЕИП на територията на държавата-членка, която предоставя помощта. Това е независимо от броя действително загубени работни места при първоначалното установяване на бенефициента в ЕИП.</w:t>
      </w:r>
    </w:p>
    <w:p w:rsidR="001B0410" w:rsidRDefault="001B0410" w:rsidP="001B0410">
      <w:pPr>
        <w:pStyle w:val="ListParagraph"/>
      </w:pPr>
    </w:p>
    <w:p w:rsidR="000E5866" w:rsidRDefault="000E5866" w:rsidP="001B0410">
      <w:pPr>
        <w:pStyle w:val="ListParagraph"/>
        <w:numPr>
          <w:ilvl w:val="0"/>
          <w:numId w:val="2"/>
        </w:numPr>
        <w:spacing w:after="0"/>
        <w:jc w:val="both"/>
      </w:pPr>
      <w:r w:rsidRPr="000E5866">
        <w:t xml:space="preserve"> Оценката на съвместимостта на мярката се основава на член 107, параграф 3, буква б) от ДФЕС, в светлината на раздели 2 и 3.1 от Временната рамка.</w:t>
      </w:r>
    </w:p>
    <w:p w:rsidR="001B0410" w:rsidRDefault="001B0410" w:rsidP="001B0410">
      <w:pPr>
        <w:pStyle w:val="ListParagraph"/>
      </w:pPr>
    </w:p>
    <w:p w:rsidR="001B0410" w:rsidRDefault="001B0410" w:rsidP="00E40EA7">
      <w:pPr>
        <w:spacing w:after="0"/>
        <w:jc w:val="both"/>
      </w:pPr>
    </w:p>
    <w:p w:rsidR="001B0410" w:rsidRPr="00E60339" w:rsidRDefault="001B0410" w:rsidP="00E60339">
      <w:pPr>
        <w:pStyle w:val="ListParagraph"/>
        <w:numPr>
          <w:ilvl w:val="1"/>
          <w:numId w:val="1"/>
        </w:numPr>
        <w:spacing w:after="0"/>
        <w:jc w:val="both"/>
        <w:rPr>
          <w:b/>
        </w:rPr>
      </w:pPr>
      <w:r>
        <w:rPr>
          <w:b/>
        </w:rPr>
        <w:t>Естество и форма</w:t>
      </w:r>
      <w:r w:rsidRPr="001B0410">
        <w:rPr>
          <w:b/>
        </w:rPr>
        <w:t xml:space="preserve"> на помощта</w:t>
      </w:r>
    </w:p>
    <w:p w:rsidR="001B0410" w:rsidRDefault="001B0410" w:rsidP="00E60339">
      <w:pPr>
        <w:pStyle w:val="ListParagraph"/>
        <w:numPr>
          <w:ilvl w:val="0"/>
          <w:numId w:val="2"/>
        </w:numPr>
        <w:spacing w:after="0"/>
        <w:ind w:hanging="11"/>
        <w:jc w:val="both"/>
      </w:pPr>
      <w:r w:rsidRPr="001B0410">
        <w:t>Мярката предо</w:t>
      </w:r>
      <w:r>
        <w:t>ставя помощ под формата на директни</w:t>
      </w:r>
      <w:r w:rsidRPr="001B0410">
        <w:t xml:space="preserve"> субсидии.</w:t>
      </w:r>
    </w:p>
    <w:p w:rsidR="001B0410" w:rsidRDefault="001B0410" w:rsidP="00E60339">
      <w:pPr>
        <w:spacing w:after="0"/>
        <w:jc w:val="both"/>
      </w:pPr>
    </w:p>
    <w:p w:rsidR="00012C60" w:rsidRPr="00E60339" w:rsidRDefault="001B0410" w:rsidP="00E60339">
      <w:pPr>
        <w:pStyle w:val="ListParagraph"/>
        <w:numPr>
          <w:ilvl w:val="1"/>
          <w:numId w:val="1"/>
        </w:numPr>
        <w:spacing w:after="0"/>
        <w:jc w:val="both"/>
        <w:rPr>
          <w:b/>
        </w:rPr>
      </w:pPr>
      <w:r w:rsidRPr="00012C60">
        <w:rPr>
          <w:b/>
        </w:rPr>
        <w:t>Правно основание</w:t>
      </w:r>
    </w:p>
    <w:p w:rsidR="00012C60" w:rsidRPr="00E60339" w:rsidRDefault="00012C60" w:rsidP="00E60339">
      <w:pPr>
        <w:pStyle w:val="ListParagraph"/>
        <w:numPr>
          <w:ilvl w:val="0"/>
          <w:numId w:val="2"/>
        </w:numPr>
        <w:spacing w:after="0"/>
        <w:ind w:hanging="11"/>
        <w:jc w:val="both"/>
        <w:rPr>
          <w:i/>
          <w:lang w:val="en-US"/>
        </w:rPr>
      </w:pPr>
      <w:r w:rsidRPr="00012C60">
        <w:t xml:space="preserve">Правното основание за мярката е член 26 от </w:t>
      </w:r>
      <w:r w:rsidRPr="00E60339">
        <w:rPr>
          <w:i/>
        </w:rPr>
        <w:t>„Закона за мерките и действията по време на извънредно положение, обявен с решението на националното събрание от 13 март 2020 г. и за преодоляване на последиците“.</w:t>
      </w:r>
    </w:p>
    <w:p w:rsidR="00E60339" w:rsidRDefault="00E60339" w:rsidP="00E60339">
      <w:pPr>
        <w:pStyle w:val="ListParagraph"/>
        <w:spacing w:after="0"/>
        <w:jc w:val="both"/>
        <w:rPr>
          <w:lang w:val="en-US"/>
        </w:rPr>
      </w:pPr>
    </w:p>
    <w:p w:rsidR="00E60339" w:rsidRPr="00E60339" w:rsidRDefault="00E60339" w:rsidP="00E60339">
      <w:pPr>
        <w:pStyle w:val="ListParagraph"/>
        <w:spacing w:after="0"/>
        <w:jc w:val="both"/>
        <w:rPr>
          <w:b/>
          <w:lang w:val="en-US"/>
        </w:rPr>
      </w:pPr>
      <w:r w:rsidRPr="00E60339">
        <w:rPr>
          <w:b/>
          <w:lang w:val="en-US"/>
        </w:rPr>
        <w:t>2.3. Администрация на мярката</w:t>
      </w:r>
    </w:p>
    <w:p w:rsidR="00E60339" w:rsidRDefault="00E60339" w:rsidP="00E60339">
      <w:pPr>
        <w:pStyle w:val="ListParagraph"/>
        <w:spacing w:after="0"/>
        <w:jc w:val="both"/>
      </w:pPr>
      <w:r w:rsidRPr="00E60339">
        <w:rPr>
          <w:lang w:val="en-US"/>
        </w:rPr>
        <w:t>(12) Министерството на туризма е отговорно за администрирането на мярката.</w:t>
      </w:r>
    </w:p>
    <w:p w:rsidR="00E60339" w:rsidRDefault="00E60339" w:rsidP="00E60339">
      <w:pPr>
        <w:pStyle w:val="ListParagraph"/>
        <w:spacing w:after="0"/>
        <w:jc w:val="both"/>
      </w:pPr>
    </w:p>
    <w:p w:rsidR="00E60339" w:rsidRPr="00E60339" w:rsidRDefault="00E60339" w:rsidP="00E60339">
      <w:pPr>
        <w:pStyle w:val="ListParagraph"/>
        <w:spacing w:after="0"/>
        <w:jc w:val="both"/>
        <w:rPr>
          <w:b/>
        </w:rPr>
      </w:pPr>
      <w:r w:rsidRPr="00E60339">
        <w:rPr>
          <w:b/>
        </w:rPr>
        <w:t>2.4. Бюджет и продължителност на мярката</w:t>
      </w:r>
    </w:p>
    <w:p w:rsidR="00E60339" w:rsidRDefault="00E60339" w:rsidP="00E60339">
      <w:pPr>
        <w:pStyle w:val="ListParagraph"/>
        <w:spacing w:after="0"/>
        <w:jc w:val="both"/>
      </w:pPr>
      <w:r>
        <w:t>(13) Бюджетът на мярката е 55 милиона лева (28.</w:t>
      </w:r>
      <w:r w:rsidR="007037D6">
        <w:t>1 милиона EВРО</w:t>
      </w:r>
      <w:r w:rsidR="007037D6">
        <w:rPr>
          <w:rStyle w:val="FootnoteReference"/>
        </w:rPr>
        <w:footnoteReference w:id="3"/>
      </w:r>
      <w:r>
        <w:t>).</w:t>
      </w:r>
    </w:p>
    <w:p w:rsidR="00E60339" w:rsidRDefault="00E60339" w:rsidP="00E60339">
      <w:pPr>
        <w:pStyle w:val="ListParagraph"/>
        <w:spacing w:after="0"/>
        <w:jc w:val="both"/>
      </w:pPr>
    </w:p>
    <w:p w:rsidR="00E60339" w:rsidRDefault="00E60339" w:rsidP="00E60339">
      <w:pPr>
        <w:pStyle w:val="ListParagraph"/>
        <w:spacing w:after="0"/>
        <w:jc w:val="both"/>
      </w:pPr>
      <w:r>
        <w:t>(14) Помощта може да бъде отпусната по мярката от нейното одобрение до не по-късно от 31 декември 2020 г. за полети, извършени между 14 май 2020 г. и 31 декември 2020 г. Туроператорите трябва да кандидатстват за помощ по сх</w:t>
      </w:r>
      <w:r w:rsidR="00753FD9">
        <w:t>емата до 24 декември 20</w:t>
      </w:r>
      <w:r w:rsidR="00887DB2">
        <w:t>20 г. най-късно и решението по</w:t>
      </w:r>
      <w:r w:rsidR="00753FD9">
        <w:t xml:space="preserve"> кандидатстването</w:t>
      </w:r>
      <w:r>
        <w:t xml:space="preserve"> трябва да бъде взето най-късно до 31 декември 2020 г.</w:t>
      </w:r>
    </w:p>
    <w:p w:rsidR="007037D6" w:rsidRDefault="007037D6" w:rsidP="00E60339">
      <w:pPr>
        <w:pStyle w:val="ListParagraph"/>
        <w:spacing w:after="0"/>
        <w:jc w:val="both"/>
      </w:pPr>
    </w:p>
    <w:p w:rsidR="007037D6" w:rsidRPr="007037D6" w:rsidRDefault="007037D6" w:rsidP="007037D6">
      <w:pPr>
        <w:pStyle w:val="ListParagraph"/>
        <w:spacing w:after="0"/>
        <w:jc w:val="both"/>
        <w:rPr>
          <w:b/>
        </w:rPr>
      </w:pPr>
      <w:r>
        <w:rPr>
          <w:b/>
        </w:rPr>
        <w:t>2.5. Бенефициенти</w:t>
      </w:r>
    </w:p>
    <w:p w:rsidR="007037D6" w:rsidRDefault="007037D6" w:rsidP="007037D6">
      <w:pPr>
        <w:pStyle w:val="ListParagraph"/>
        <w:spacing w:after="0"/>
        <w:jc w:val="both"/>
      </w:pPr>
      <w:r>
        <w:t xml:space="preserve">(15) Схемата е отворена за всички туроператори, които имат право да извършват дейности на територията на България, независимо от размера и които са </w:t>
      </w:r>
      <w:r>
        <w:lastRenderedPageBreak/>
        <w:t>сключили договор с въздушен превозвач за превоз на пътници в България. Българските власти очакват, че общо ще има около 55 бенефициенти.</w:t>
      </w:r>
    </w:p>
    <w:p w:rsidR="007037D6" w:rsidRDefault="007037D6" w:rsidP="007037D6">
      <w:pPr>
        <w:pStyle w:val="ListParagraph"/>
        <w:spacing w:after="0"/>
        <w:jc w:val="both"/>
      </w:pPr>
    </w:p>
    <w:p w:rsidR="007037D6" w:rsidRDefault="007037D6" w:rsidP="007037D6">
      <w:pPr>
        <w:pStyle w:val="ListParagraph"/>
        <w:spacing w:after="0"/>
        <w:jc w:val="both"/>
      </w:pPr>
      <w:r>
        <w:t xml:space="preserve">(16) Помощта не може да бъде отпусната по мярката на предприятия, които вече са били в затруднение по смисъла на Общия регламент за </w:t>
      </w:r>
      <w:r w:rsidR="00887DB2">
        <w:t>групово освобождаване („GBER“)</w:t>
      </w:r>
      <w:r w:rsidR="00887DB2">
        <w:rPr>
          <w:rStyle w:val="FootnoteReference"/>
        </w:rPr>
        <w:footnoteReference w:id="4"/>
      </w:r>
      <w:r>
        <w:t xml:space="preserve"> на 31 декември 2019 г.</w:t>
      </w:r>
    </w:p>
    <w:p w:rsidR="007037D6" w:rsidRDefault="007037D6" w:rsidP="007037D6">
      <w:pPr>
        <w:pStyle w:val="ListParagraph"/>
        <w:spacing w:after="0"/>
        <w:jc w:val="both"/>
      </w:pPr>
    </w:p>
    <w:p w:rsidR="007037D6" w:rsidRPr="007037D6" w:rsidRDefault="007037D6" w:rsidP="007037D6">
      <w:pPr>
        <w:pStyle w:val="ListParagraph"/>
        <w:spacing w:after="0"/>
        <w:jc w:val="both"/>
        <w:rPr>
          <w:b/>
        </w:rPr>
      </w:pPr>
      <w:r w:rsidRPr="007037D6">
        <w:rPr>
          <w:b/>
        </w:rPr>
        <w:t>2.6. Секторен и регионален обхват на мярката</w:t>
      </w:r>
    </w:p>
    <w:p w:rsidR="007037D6" w:rsidRDefault="007037D6" w:rsidP="007037D6">
      <w:pPr>
        <w:pStyle w:val="ListParagraph"/>
        <w:spacing w:after="0"/>
        <w:jc w:val="both"/>
      </w:pPr>
      <w:r>
        <w:t>(17) Помощта по схемата се предоставя на сектора на туристическите оператори и схемата се прилага за цялата територия на България.</w:t>
      </w:r>
    </w:p>
    <w:p w:rsidR="007037D6" w:rsidRPr="007037D6" w:rsidRDefault="007037D6" w:rsidP="007037D6">
      <w:pPr>
        <w:pStyle w:val="ListParagraph"/>
        <w:spacing w:after="0"/>
        <w:jc w:val="both"/>
        <w:rPr>
          <w:b/>
        </w:rPr>
      </w:pPr>
    </w:p>
    <w:p w:rsidR="007037D6" w:rsidRDefault="007037D6" w:rsidP="007037D6">
      <w:pPr>
        <w:pStyle w:val="ListParagraph"/>
        <w:spacing w:after="0"/>
        <w:jc w:val="both"/>
        <w:rPr>
          <w:b/>
        </w:rPr>
      </w:pPr>
      <w:r w:rsidRPr="007037D6">
        <w:rPr>
          <w:b/>
        </w:rPr>
        <w:t>2.7. Основни елементи на мярката</w:t>
      </w:r>
    </w:p>
    <w:p w:rsidR="007037D6" w:rsidRDefault="007037D6" w:rsidP="007037D6">
      <w:pPr>
        <w:pStyle w:val="ListParagraph"/>
        <w:spacing w:after="0"/>
        <w:jc w:val="both"/>
      </w:pPr>
      <w:r w:rsidRPr="007037D6">
        <w:t xml:space="preserve">Съгласно мярката туроператорите имат право да получат 35 евро на пътник на полети, които са част от пакетна обиколка, резервирана с тях и с крайна точка на пристигане на територията на България. Общият размер на помощта на туроператор </w:t>
      </w:r>
      <w:r>
        <w:t>не може да надвишава 800 000 EВРО</w:t>
      </w:r>
      <w:r w:rsidRPr="007037D6">
        <w:t>. За да отговарят на условията за подкрепа, туроператорите трябва да са използвали въздушни превозвачи с валиден оперативен лиценз за извършване на чартърни полети до България. 35 евро могат да бъдат отпускани на пътник до максималния капацитет на въздухоплавателното средство за полети, извършени между 14 май 2020 г. и 31 декември 2020 г., и само за въздухоплавателни средства с капацитет най-малко 100 места. Помощ може да бъде отпусната на всеки туроператор, който отговаря на горните условия, независимо от страната им на регистрация.</w:t>
      </w:r>
    </w:p>
    <w:p w:rsidR="00887DB2" w:rsidRPr="007037D6" w:rsidRDefault="00887DB2" w:rsidP="007037D6">
      <w:pPr>
        <w:pStyle w:val="ListParagraph"/>
        <w:spacing w:after="0"/>
        <w:jc w:val="both"/>
      </w:pPr>
    </w:p>
    <w:p w:rsidR="007037D6" w:rsidRDefault="007037D6" w:rsidP="007037D6">
      <w:pPr>
        <w:pStyle w:val="ListParagraph"/>
        <w:spacing w:after="0"/>
        <w:jc w:val="both"/>
      </w:pPr>
      <w:r w:rsidRPr="007037D6">
        <w:t>(19) За да се възползват от помощта по схемата, туроператорите трябва да подадат заявление до Министерството на туризма най-късно до 24 декември 2020 г. Заявленията се оценяват в рамките на 7 дни от комисия от длъжностни лица, назначена от министъра на туризма.</w:t>
      </w:r>
    </w:p>
    <w:p w:rsidR="00887DB2" w:rsidRDefault="00887DB2" w:rsidP="007037D6">
      <w:pPr>
        <w:pStyle w:val="ListParagraph"/>
        <w:spacing w:after="0"/>
        <w:jc w:val="both"/>
      </w:pPr>
    </w:p>
    <w:p w:rsidR="00887DB2" w:rsidRPr="007037D6" w:rsidRDefault="00887DB2" w:rsidP="007037D6">
      <w:pPr>
        <w:pStyle w:val="ListParagraph"/>
        <w:spacing w:after="0"/>
        <w:jc w:val="both"/>
      </w:pPr>
    </w:p>
    <w:p w:rsidR="00887DB2" w:rsidRPr="00887DB2" w:rsidRDefault="00887DB2" w:rsidP="00887DB2">
      <w:pPr>
        <w:pStyle w:val="ListParagraph"/>
        <w:spacing w:after="0"/>
        <w:jc w:val="both"/>
        <w:rPr>
          <w:b/>
        </w:rPr>
      </w:pPr>
      <w:r>
        <w:rPr>
          <w:b/>
        </w:rPr>
        <w:t>2.8. Н</w:t>
      </w:r>
      <w:r w:rsidRPr="00887DB2">
        <w:rPr>
          <w:b/>
        </w:rPr>
        <w:t>атрупване</w:t>
      </w:r>
    </w:p>
    <w:p w:rsidR="00887DB2" w:rsidRPr="00887DB2" w:rsidRDefault="00887DB2" w:rsidP="00887DB2">
      <w:pPr>
        <w:pStyle w:val="ListParagraph"/>
        <w:spacing w:after="0"/>
        <w:jc w:val="both"/>
      </w:pPr>
      <w:r w:rsidRPr="00887DB2">
        <w:t>(20) Българските власти потвърждават, че помощта, отпусната по мярката, може да бъде кумулирана с помощта по регламентите</w:t>
      </w:r>
      <w:r>
        <w:rPr>
          <w:rStyle w:val="FootnoteReference"/>
        </w:rPr>
        <w:footnoteReference w:id="5"/>
      </w:r>
      <w:r w:rsidRPr="00887DB2">
        <w:t xml:space="preserve"> de minimis или Общия </w:t>
      </w:r>
      <w:r w:rsidRPr="00887DB2">
        <w:lastRenderedPageBreak/>
        <w:t>регламент за групово освобождаване</w:t>
      </w:r>
      <w:r>
        <w:rPr>
          <w:rStyle w:val="FootnoteReference"/>
        </w:rPr>
        <w:footnoteReference w:id="6"/>
      </w:r>
      <w:r w:rsidRPr="00887DB2">
        <w:t>, при условие че се спазват разпоредбите и правилата за кумулиране на тези регламенти.</w:t>
      </w:r>
    </w:p>
    <w:p w:rsidR="00887DB2" w:rsidRPr="00887DB2" w:rsidRDefault="00887DB2" w:rsidP="00887DB2">
      <w:pPr>
        <w:pStyle w:val="ListParagraph"/>
        <w:spacing w:after="0"/>
        <w:jc w:val="both"/>
      </w:pPr>
    </w:p>
    <w:p w:rsidR="00887DB2" w:rsidRPr="00887DB2" w:rsidRDefault="00887DB2" w:rsidP="00887DB2">
      <w:pPr>
        <w:pStyle w:val="ListParagraph"/>
        <w:spacing w:after="0"/>
        <w:jc w:val="both"/>
      </w:pPr>
      <w:r w:rsidRPr="00887DB2">
        <w:t>(21) Българските власти потвърждават, че помощта, отпусната по мярката, може да бъде кумулирана с помощ, отпусната по други мерки, одобрени от Комисията съгласно други раздели на временната рамка, при условие че се спазват разпоредбите в тези специфични раздели.</w:t>
      </w:r>
    </w:p>
    <w:p w:rsidR="00887DB2" w:rsidRPr="00887DB2" w:rsidRDefault="00887DB2" w:rsidP="00887DB2">
      <w:pPr>
        <w:pStyle w:val="ListParagraph"/>
        <w:spacing w:after="0"/>
        <w:jc w:val="both"/>
      </w:pPr>
    </w:p>
    <w:p w:rsidR="007037D6" w:rsidRDefault="00887DB2" w:rsidP="00887DB2">
      <w:pPr>
        <w:pStyle w:val="ListParagraph"/>
        <w:spacing w:after="0"/>
        <w:jc w:val="both"/>
      </w:pPr>
      <w:r w:rsidRPr="00887DB2">
        <w:t>(22) Българските власти потвърждават, че ако бенефициентът получава помощ няколко пъти или в няколко форми по мярката или помощта по други мерки, одобрени от Комисията съгласно раздел 3.1 от временната рамка, общата максимална граница на предприятие, както е посочено в точка 22, буква а) от тази рамка, ще се спазва. В тази връзка туроператорите ще трябва да декларират размера на получените средства, периода, за който се отнасят, и схемата, по която е получена помощта.</w:t>
      </w:r>
    </w:p>
    <w:p w:rsidR="00887DB2" w:rsidRDefault="00887DB2" w:rsidP="00887DB2">
      <w:pPr>
        <w:pStyle w:val="ListParagraph"/>
        <w:spacing w:after="0"/>
        <w:jc w:val="both"/>
      </w:pPr>
    </w:p>
    <w:p w:rsidR="00887DB2" w:rsidRDefault="00887DB2" w:rsidP="00887DB2">
      <w:pPr>
        <w:pStyle w:val="ListParagraph"/>
        <w:spacing w:after="0"/>
        <w:jc w:val="both"/>
        <w:rPr>
          <w:b/>
        </w:rPr>
      </w:pPr>
      <w:r w:rsidRPr="00887DB2">
        <w:rPr>
          <w:b/>
        </w:rPr>
        <w:t>2.9. Мониторинг и отчитане</w:t>
      </w:r>
    </w:p>
    <w:p w:rsidR="00887DB2" w:rsidRPr="00887DB2" w:rsidRDefault="00887DB2" w:rsidP="00887DB2">
      <w:pPr>
        <w:pStyle w:val="ListParagraph"/>
        <w:spacing w:after="0"/>
        <w:jc w:val="both"/>
        <w:rPr>
          <w:b/>
        </w:rPr>
      </w:pPr>
    </w:p>
    <w:p w:rsidR="00887DB2" w:rsidRDefault="00887DB2" w:rsidP="00887DB2">
      <w:pPr>
        <w:pStyle w:val="ListParagraph"/>
        <w:spacing w:after="0"/>
        <w:jc w:val="both"/>
      </w:pPr>
      <w:r>
        <w:t xml:space="preserve">(23) Българските власти потвърждават, че ще спазват задълженията за мониторинг и докладване, определени в раздел 4 от Временната рамка (включително задължението за публикуване на съответна информация за всяка отделна помощ над 100 000 EВРО, предоставена по мярката </w:t>
      </w:r>
      <w:r w:rsidR="0099459E" w:rsidRPr="0099459E">
        <w:t xml:space="preserve">на подробния уебсайт за национална държавна помощ </w:t>
      </w:r>
      <w:r>
        <w:t>или информационният инструмент на Комисията в рамките на 12 месеца от момента на предоставяне</w:t>
      </w:r>
      <w:r w:rsidR="0099459E">
        <w:rPr>
          <w:rStyle w:val="FootnoteReference"/>
        </w:rPr>
        <w:footnoteReference w:id="7"/>
      </w:r>
      <w:r>
        <w:t>).</w:t>
      </w:r>
    </w:p>
    <w:p w:rsidR="0099459E" w:rsidRDefault="0099459E" w:rsidP="00887DB2">
      <w:pPr>
        <w:pStyle w:val="ListParagraph"/>
        <w:spacing w:after="0"/>
        <w:jc w:val="both"/>
      </w:pPr>
    </w:p>
    <w:p w:rsidR="0099459E" w:rsidRDefault="0099459E" w:rsidP="0099459E">
      <w:pPr>
        <w:pStyle w:val="ListParagraph"/>
        <w:numPr>
          <w:ilvl w:val="0"/>
          <w:numId w:val="1"/>
        </w:numPr>
        <w:spacing w:after="0"/>
        <w:ind w:hanging="11"/>
        <w:jc w:val="both"/>
        <w:rPr>
          <w:b/>
        </w:rPr>
      </w:pPr>
      <w:r w:rsidRPr="0099459E">
        <w:rPr>
          <w:b/>
        </w:rPr>
        <w:t>ОЦЕНКА</w:t>
      </w:r>
    </w:p>
    <w:p w:rsidR="0099459E" w:rsidRPr="0099459E" w:rsidRDefault="0099459E" w:rsidP="0099459E">
      <w:pPr>
        <w:pStyle w:val="ListParagraph"/>
        <w:spacing w:after="0"/>
        <w:jc w:val="both"/>
        <w:rPr>
          <w:b/>
        </w:rPr>
      </w:pPr>
    </w:p>
    <w:p w:rsidR="0099459E" w:rsidRPr="0099459E" w:rsidRDefault="0099459E" w:rsidP="0099459E">
      <w:pPr>
        <w:pStyle w:val="ListParagraph"/>
        <w:spacing w:after="0"/>
        <w:jc w:val="both"/>
        <w:rPr>
          <w:b/>
        </w:rPr>
      </w:pPr>
      <w:r w:rsidRPr="0099459E">
        <w:rPr>
          <w:b/>
        </w:rPr>
        <w:t>3.1. Законосъобразност на мярката</w:t>
      </w:r>
    </w:p>
    <w:p w:rsidR="0099459E" w:rsidRDefault="0099459E" w:rsidP="0099459E">
      <w:pPr>
        <w:pStyle w:val="ListParagraph"/>
        <w:spacing w:after="0"/>
        <w:jc w:val="both"/>
      </w:pPr>
      <w:r>
        <w:t>(24) Като уведомяват за мярката, преди да я приложат в сила, българските власти спазиха задълженията си по член 108, параграф 3 от ДФЕС.</w:t>
      </w:r>
    </w:p>
    <w:p w:rsidR="0099459E" w:rsidRPr="0099459E" w:rsidRDefault="0099459E" w:rsidP="0099459E">
      <w:pPr>
        <w:pStyle w:val="ListParagraph"/>
        <w:spacing w:after="0"/>
        <w:jc w:val="both"/>
        <w:rPr>
          <w:b/>
        </w:rPr>
      </w:pPr>
    </w:p>
    <w:p w:rsidR="0099459E" w:rsidRPr="00AE359E" w:rsidRDefault="0099459E" w:rsidP="00AE359E">
      <w:pPr>
        <w:pStyle w:val="ListParagraph"/>
        <w:spacing w:after="0"/>
        <w:jc w:val="both"/>
        <w:rPr>
          <w:b/>
        </w:rPr>
      </w:pPr>
      <w:r w:rsidRPr="0099459E">
        <w:rPr>
          <w:b/>
        </w:rPr>
        <w:t>3.2. Наличие на държавна помощ</w:t>
      </w:r>
    </w:p>
    <w:p w:rsidR="0099459E" w:rsidRDefault="0099459E" w:rsidP="0099459E">
      <w:pPr>
        <w:pStyle w:val="ListParagraph"/>
        <w:spacing w:after="0"/>
        <w:jc w:val="both"/>
        <w:rPr>
          <w:b/>
        </w:rPr>
      </w:pPr>
      <w:r w:rsidRPr="0099459E">
        <w:t>(25)</w:t>
      </w:r>
      <w:r>
        <w:rPr>
          <w:b/>
        </w:rPr>
        <w:t xml:space="preserve"> </w:t>
      </w:r>
      <w:r w:rsidRPr="0099459E">
        <w:t xml:space="preserve">За да може една мярка да бъде квалифицирана като помощ по смисъла на член 107, параграф 1 от ДФЕС, всички условия, посочени в тази разпоредба, </w:t>
      </w:r>
      <w:r w:rsidRPr="0099459E">
        <w:lastRenderedPageBreak/>
        <w:t>трябва да бъдат изпълнени. Първо, мярката трябва да бъде приписана на държавата и да се финансира чрез държавни ресурси. Второ, тя трябва да даде предимство на своите получатели. Трето, това предимство трябва да бъде избирателно по своя характе</w:t>
      </w:r>
      <w:r>
        <w:t>р. Четвърто, мярката трябва да нарушава или заплашва</w:t>
      </w:r>
      <w:r w:rsidRPr="0099459E">
        <w:t xml:space="preserve"> да наруши конкуренцията и да засегне търговията между държавите-членки.</w:t>
      </w:r>
    </w:p>
    <w:p w:rsidR="00C912BD" w:rsidRDefault="00C912BD" w:rsidP="0099459E">
      <w:pPr>
        <w:pStyle w:val="ListParagraph"/>
        <w:spacing w:after="0"/>
        <w:jc w:val="both"/>
        <w:rPr>
          <w:b/>
        </w:rPr>
      </w:pPr>
    </w:p>
    <w:p w:rsidR="0099459E" w:rsidRPr="00C912BD" w:rsidRDefault="0099459E" w:rsidP="0099459E">
      <w:pPr>
        <w:pStyle w:val="ListParagraph"/>
        <w:spacing w:after="0"/>
        <w:jc w:val="both"/>
      </w:pPr>
      <w:r w:rsidRPr="00C912BD">
        <w:t>(26) Мярката може да се дължи на държавата, тъй като се управлява от Министерството на туризма и се основава на Закона за мерките и действията по време на извънредното положение, обявени с решението на националното събрание от 13 март 2020 г. и за преодоляване на последствията. Финансира се чрез държавни ресурси, тъй като се финансира с публични средства.</w:t>
      </w:r>
    </w:p>
    <w:p w:rsidR="00C912BD" w:rsidRPr="00C912BD" w:rsidRDefault="00C912BD" w:rsidP="0099459E">
      <w:pPr>
        <w:pStyle w:val="ListParagraph"/>
        <w:spacing w:after="0"/>
        <w:jc w:val="both"/>
      </w:pPr>
    </w:p>
    <w:p w:rsidR="0099459E" w:rsidRPr="00C912BD" w:rsidRDefault="0099459E" w:rsidP="0099459E">
      <w:pPr>
        <w:pStyle w:val="ListParagraph"/>
        <w:spacing w:after="0"/>
        <w:jc w:val="both"/>
      </w:pPr>
      <w:r w:rsidRPr="00C912BD">
        <w:t>(27) Мярката предоставя предимство на бенефициерите под формата на директни субсидии. По този начин мярката освобождава тези бенефициери от разходите, които би трябвало да понесат при нормални пазарни условия.</w:t>
      </w:r>
    </w:p>
    <w:p w:rsidR="00C912BD" w:rsidRPr="00C912BD" w:rsidRDefault="00C912BD" w:rsidP="0099459E">
      <w:pPr>
        <w:pStyle w:val="ListParagraph"/>
        <w:spacing w:after="0"/>
        <w:jc w:val="both"/>
      </w:pPr>
    </w:p>
    <w:p w:rsidR="0099459E" w:rsidRPr="00C912BD" w:rsidRDefault="0099459E" w:rsidP="0099459E">
      <w:pPr>
        <w:pStyle w:val="ListParagraph"/>
        <w:spacing w:after="0"/>
        <w:jc w:val="both"/>
      </w:pPr>
      <w:r w:rsidRPr="00C912BD">
        <w:t>(28) Предимството, предоставено от мярката, е избирателно, тъй като се предоставя само на определени предприятия, т.е. туроператори.</w:t>
      </w:r>
    </w:p>
    <w:p w:rsidR="00C912BD" w:rsidRPr="00C912BD" w:rsidRDefault="00C912BD" w:rsidP="0099459E">
      <w:pPr>
        <w:pStyle w:val="ListParagraph"/>
        <w:spacing w:after="0"/>
        <w:jc w:val="both"/>
      </w:pPr>
    </w:p>
    <w:p w:rsidR="0099459E" w:rsidRPr="00C912BD" w:rsidRDefault="0099459E" w:rsidP="0099459E">
      <w:pPr>
        <w:pStyle w:val="ListParagraph"/>
        <w:spacing w:after="0"/>
        <w:jc w:val="both"/>
      </w:pPr>
      <w:r w:rsidRPr="00C912BD">
        <w:t>(29) Мярката може да наруши конкуренцията, тъй като засилва конкурентната позиция на своите бенефициенти. Той се отразява и върху търговията между държавите-членки, тъй като тези бене</w:t>
      </w:r>
      <w:r w:rsidR="00C912BD">
        <w:t>фициери са активни в сектори, в кои</w:t>
      </w:r>
      <w:r w:rsidR="00C912BD" w:rsidRPr="00C912BD">
        <w:t>то съществува вътреобщностна търговия.</w:t>
      </w:r>
    </w:p>
    <w:p w:rsidR="0099459E" w:rsidRDefault="0099459E" w:rsidP="0099459E">
      <w:pPr>
        <w:pStyle w:val="ListParagraph"/>
        <w:spacing w:after="0"/>
        <w:jc w:val="both"/>
      </w:pPr>
      <w:r w:rsidRPr="00C912BD">
        <w:t>(30) С оглед на гореизложеното Комисията заключава, че мярката представлява помощ по смисъла на член 107, параграф 1 от ДФЕС. Българските власти не оспорват това заключение.</w:t>
      </w:r>
    </w:p>
    <w:p w:rsidR="00C912BD" w:rsidRDefault="00C912BD" w:rsidP="0099459E">
      <w:pPr>
        <w:pStyle w:val="ListParagraph"/>
        <w:spacing w:after="0"/>
        <w:jc w:val="both"/>
      </w:pPr>
    </w:p>
    <w:p w:rsidR="00C912BD" w:rsidRDefault="00C912BD" w:rsidP="0099459E">
      <w:pPr>
        <w:pStyle w:val="ListParagraph"/>
        <w:spacing w:after="0"/>
        <w:jc w:val="both"/>
        <w:rPr>
          <w:b/>
        </w:rPr>
      </w:pPr>
      <w:r w:rsidRPr="00C912BD">
        <w:rPr>
          <w:b/>
        </w:rPr>
        <w:t>3.3. Съвместимост</w:t>
      </w:r>
    </w:p>
    <w:p w:rsidR="00C912BD" w:rsidRDefault="00C912BD" w:rsidP="0099459E">
      <w:pPr>
        <w:pStyle w:val="ListParagraph"/>
        <w:spacing w:after="0"/>
        <w:jc w:val="both"/>
        <w:rPr>
          <w:b/>
        </w:rPr>
      </w:pPr>
    </w:p>
    <w:p w:rsidR="00C912BD" w:rsidRDefault="00C912BD" w:rsidP="0099459E">
      <w:pPr>
        <w:pStyle w:val="ListParagraph"/>
        <w:spacing w:after="0"/>
        <w:jc w:val="both"/>
      </w:pPr>
      <w:r w:rsidRPr="00C912BD">
        <w:t>(31) Тъй като мярката включва помощ по смисъла на член 107, параграф 1 от ДФЕС, е необходимо да се разгледа дали тази мярка е съвместима с вътрешния пазар.</w:t>
      </w:r>
    </w:p>
    <w:p w:rsidR="00C912BD" w:rsidRDefault="00C912BD" w:rsidP="0099459E">
      <w:pPr>
        <w:pStyle w:val="ListParagraph"/>
        <w:spacing w:after="0"/>
        <w:jc w:val="both"/>
      </w:pPr>
    </w:p>
    <w:p w:rsidR="00C912BD" w:rsidRDefault="00C912BD" w:rsidP="0099459E">
      <w:pPr>
        <w:pStyle w:val="ListParagraph"/>
        <w:spacing w:after="0"/>
        <w:jc w:val="both"/>
        <w:rPr>
          <w:i/>
        </w:rPr>
      </w:pPr>
      <w:r w:rsidRPr="00C912BD">
        <w:t xml:space="preserve">(32) Съгласно член 107, параграф 3, буква б) от ДФЕС, Комисията може да обяви съвместимост с помощта за вътрешния пазар </w:t>
      </w:r>
      <w:r w:rsidRPr="00C912BD">
        <w:rPr>
          <w:i/>
        </w:rPr>
        <w:t>„за отстраняване на сериозни смущения в икономиката на държава-членка“.</w:t>
      </w:r>
    </w:p>
    <w:p w:rsidR="00C912BD" w:rsidRDefault="00C912BD" w:rsidP="0099459E">
      <w:pPr>
        <w:pStyle w:val="ListParagraph"/>
        <w:spacing w:after="0"/>
        <w:jc w:val="both"/>
        <w:rPr>
          <w:i/>
        </w:rPr>
      </w:pPr>
    </w:p>
    <w:p w:rsidR="00C912BD" w:rsidRDefault="00C912BD" w:rsidP="00C912BD">
      <w:pPr>
        <w:pStyle w:val="ListParagraph"/>
        <w:spacing w:after="0"/>
        <w:jc w:val="both"/>
        <w:rPr>
          <w:i/>
        </w:rPr>
      </w:pPr>
      <w:r>
        <w:t xml:space="preserve">(33) Като прие временната рамка на 19 март 2020 г., Комисията призна (в раздел 2), че </w:t>
      </w:r>
      <w:r w:rsidRPr="00C912BD">
        <w:rPr>
          <w:i/>
        </w:rPr>
        <w:t xml:space="preserve">„огнището на COVID-19 засяга всички държави-членки и мерките за ограничаване, предприети от държавите-членки, въздействат върху </w:t>
      </w:r>
      <w:r w:rsidRPr="00C912BD">
        <w:rPr>
          <w:i/>
        </w:rPr>
        <w:lastRenderedPageBreak/>
        <w:t>предприятията“.</w:t>
      </w:r>
      <w:r>
        <w:t xml:space="preserve"> Комисията заключи, че </w:t>
      </w:r>
      <w:r w:rsidRPr="00C912BD">
        <w:rPr>
          <w:i/>
        </w:rPr>
        <w:t>„държавната помощ е оправдана и може да бъде обявена за съвместима с вътрешния пазар въз основа на член 107, параграф 3, буква б) от ДФЕС за ограничен период за отстраняване на недостига на ликвидност, с който се сблъскват предприятията, и да гарантира, че прекъсванията, причинени от избухването на COVID-19, не подкопават тяхната жизнеспособност , особено на МСП ”.</w:t>
      </w:r>
    </w:p>
    <w:p w:rsidR="00C912BD" w:rsidRDefault="00C912BD" w:rsidP="00C912BD">
      <w:pPr>
        <w:pStyle w:val="ListParagraph"/>
        <w:spacing w:after="0"/>
        <w:jc w:val="both"/>
        <w:rPr>
          <w:i/>
        </w:rPr>
      </w:pPr>
    </w:p>
    <w:p w:rsidR="00C912BD" w:rsidRDefault="00C912BD" w:rsidP="00C912BD">
      <w:pPr>
        <w:pStyle w:val="ListParagraph"/>
        <w:spacing w:after="0"/>
        <w:jc w:val="both"/>
      </w:pPr>
      <w:r w:rsidRPr="00C912BD">
        <w:t>(34) Мярката</w:t>
      </w:r>
      <w:r>
        <w:t xml:space="preserve"> има за цел да стимулира входя</w:t>
      </w:r>
      <w:r w:rsidRPr="00C912BD">
        <w:t>щия туризъм чрез под</w:t>
      </w:r>
      <w:r>
        <w:t>крепа на туроператори, които до</w:t>
      </w:r>
      <w:r w:rsidRPr="00C912BD">
        <w:t>веждат пътуващи в България, в момент, когато нормалното функциониране на кредитните пазари е силно нарушено от избухването на COVID-19 и това огнище засяга по-широката икономика и води до тежки смущения в реалната икономика на държавите-членки.</w:t>
      </w:r>
    </w:p>
    <w:p w:rsidR="00C912BD" w:rsidRDefault="00C912BD" w:rsidP="00C912BD">
      <w:pPr>
        <w:pStyle w:val="ListParagraph"/>
        <w:spacing w:after="0"/>
        <w:jc w:val="both"/>
      </w:pPr>
    </w:p>
    <w:p w:rsidR="00C912BD" w:rsidRDefault="00C912BD" w:rsidP="00C912BD">
      <w:pPr>
        <w:pStyle w:val="ListParagraph"/>
        <w:spacing w:after="0"/>
        <w:jc w:val="both"/>
      </w:pPr>
      <w:r>
        <w:t>(35) Мярката е една от поредицата от мерки, замислени на национално ниво от българските власти за отстраняване на сериозни смущения в тяхната икономика. Шестте туристически сектора и свързаните с тях области като хотели, ресторанти и културни събития са особено силно засегнати от огнището на COVID-19. Според българските власти съществуват текущи ограничения за пътуване и икономически</w:t>
      </w:r>
    </w:p>
    <w:p w:rsidR="00C912BD" w:rsidRDefault="00C912BD" w:rsidP="00C912BD">
      <w:pPr>
        <w:pStyle w:val="ListParagraph"/>
        <w:spacing w:after="0"/>
        <w:jc w:val="both"/>
      </w:pPr>
      <w:r>
        <w:t>смущения в икономиките на други страни, докато туризмът представлява 10,8% от БВП на България.</w:t>
      </w:r>
      <w:r w:rsidRPr="00C912BD">
        <w:t xml:space="preserve"> Следователно </w:t>
      </w:r>
      <w:r>
        <w:t xml:space="preserve">от </w:t>
      </w:r>
      <w:r w:rsidRPr="00C912BD">
        <w:t xml:space="preserve">мярката може </w:t>
      </w:r>
      <w:r>
        <w:t xml:space="preserve">разумно да се очаква </w:t>
      </w:r>
      <w:r w:rsidRPr="00C912BD">
        <w:t xml:space="preserve">да </w:t>
      </w:r>
      <w:r w:rsidR="00364B60">
        <w:t xml:space="preserve">окаже въздействие върху </w:t>
      </w:r>
      <w:r w:rsidRPr="00C912BD">
        <w:t>цялата българска икономика.</w:t>
      </w:r>
    </w:p>
    <w:p w:rsidR="00364B60" w:rsidRDefault="00364B60" w:rsidP="00C912BD">
      <w:pPr>
        <w:pStyle w:val="ListParagraph"/>
        <w:spacing w:after="0"/>
        <w:jc w:val="both"/>
      </w:pPr>
    </w:p>
    <w:p w:rsidR="00364B60" w:rsidRDefault="00364B60" w:rsidP="00364B60">
      <w:pPr>
        <w:pStyle w:val="ListParagraph"/>
        <w:spacing w:after="0"/>
        <w:jc w:val="both"/>
      </w:pPr>
      <w:r>
        <w:t>(36) Мярката е отворена за туристически оператори, независимо от тяхната държава на регистрация или държавата на регистрация на авиокомпанията, която извършва полетите, и се отнася до пътниците, независимо от националността им. Самолетът трябва да има капацитет най-малко 100 места. Докато единственото поддържано транспортно средство е въздушният транспорт, трябва да се отбележи, че повечето туристи в България са от далечни страни като Германия, Полша, Великобритания и Русия, а по-голямата част пристига с въздушен транспорт.</w:t>
      </w:r>
    </w:p>
    <w:p w:rsidR="00364B60" w:rsidRDefault="00364B60" w:rsidP="00364B60">
      <w:pPr>
        <w:pStyle w:val="ListParagraph"/>
        <w:spacing w:after="0"/>
        <w:jc w:val="both"/>
      </w:pPr>
    </w:p>
    <w:p w:rsidR="00364B60" w:rsidRDefault="00364B60" w:rsidP="00364B60">
      <w:pPr>
        <w:pStyle w:val="ListParagraph"/>
        <w:spacing w:after="0"/>
        <w:jc w:val="both"/>
      </w:pPr>
      <w:r>
        <w:t>(37) Освен това мярката е разработена така, че да отговаря на изискванията на специфична категория помощ (помощ под формата на директни безвъзмездни средства), описана в раздел 3.1 от временната рамка.</w:t>
      </w:r>
    </w:p>
    <w:p w:rsidR="00364B60" w:rsidRDefault="00364B60" w:rsidP="00364B60">
      <w:pPr>
        <w:pStyle w:val="ListParagraph"/>
        <w:spacing w:after="0"/>
        <w:jc w:val="both"/>
      </w:pPr>
    </w:p>
    <w:p w:rsidR="00364B60" w:rsidRDefault="00364B60" w:rsidP="00364B60">
      <w:pPr>
        <w:pStyle w:val="ListParagraph"/>
        <w:spacing w:after="0"/>
        <w:jc w:val="both"/>
      </w:pPr>
      <w:r>
        <w:t>(38) Съответно Комисията счита, че мярката е необходима, подходяща и пропорционална за отстраняване на сериозни смущения в икономиката на държава-членка и отговаря на всички условия на временната рамка. По-специално:</w:t>
      </w:r>
    </w:p>
    <w:p w:rsidR="00364B60" w:rsidRDefault="00364B60" w:rsidP="00364B60">
      <w:pPr>
        <w:pStyle w:val="ListParagraph"/>
        <w:spacing w:after="0"/>
        <w:jc w:val="both"/>
      </w:pPr>
    </w:p>
    <w:p w:rsidR="00364B60" w:rsidRDefault="00364B60" w:rsidP="00364B60">
      <w:pPr>
        <w:pStyle w:val="ListParagraph"/>
        <w:numPr>
          <w:ilvl w:val="0"/>
          <w:numId w:val="3"/>
        </w:numPr>
        <w:spacing w:after="0"/>
        <w:jc w:val="both"/>
      </w:pPr>
      <w:r>
        <w:lastRenderedPageBreak/>
        <w:t>Помощта е под формата на директни безвъзмездни средства (съображение 10). Общата номинална стойност на безвъзмездните средства не трябва да надвишава 800 000 EUR на предприятие бруто, т.е. преди приспадане на данък или други такси. Следователно мярката е в съответствие с точка 22, буква а) от временната рамка;</w:t>
      </w:r>
    </w:p>
    <w:p w:rsidR="00364B60" w:rsidRDefault="00364B60" w:rsidP="00364B60">
      <w:pPr>
        <w:pStyle w:val="ListParagraph"/>
        <w:numPr>
          <w:ilvl w:val="0"/>
          <w:numId w:val="3"/>
        </w:numPr>
        <w:spacing w:after="0"/>
        <w:jc w:val="both"/>
      </w:pPr>
      <w:r>
        <w:t>Помощта се предоставя по мярката въз основа на схема с точен бюджет, както е посочено в съображение 13. Следователно мярката е в съответствие с точка 22, буква б) от временната рамка;</w:t>
      </w:r>
    </w:p>
    <w:p w:rsidR="00364B60" w:rsidRDefault="00364B60" w:rsidP="00364B60">
      <w:pPr>
        <w:pStyle w:val="ListParagraph"/>
        <w:numPr>
          <w:ilvl w:val="0"/>
          <w:numId w:val="3"/>
        </w:numPr>
        <w:spacing w:after="0"/>
        <w:jc w:val="both"/>
      </w:pPr>
      <w:r>
        <w:t>Помощта не може да се предоставя по мярката на предприятия, които вече са били в затруднение на 31 декември 2019 г. (виж съображение 16). Следователно мярката е в съответствие с точка 22, буква в) от временната рамка.</w:t>
      </w:r>
    </w:p>
    <w:p w:rsidR="00364B60" w:rsidRDefault="00364B60" w:rsidP="00364B60">
      <w:pPr>
        <w:pStyle w:val="ListParagraph"/>
        <w:numPr>
          <w:ilvl w:val="0"/>
          <w:numId w:val="3"/>
        </w:numPr>
        <w:spacing w:after="0"/>
        <w:jc w:val="both"/>
      </w:pPr>
      <w:r>
        <w:t>Помощта ще бъде отпусната по мярката не по-късно от 31 декември 2020 г. (съображение 14). Следователно мярката е в съответствие с точка 22, буква г) от временната рамка;</w:t>
      </w:r>
    </w:p>
    <w:p w:rsidR="00364B60" w:rsidRDefault="00364B60" w:rsidP="00364B60">
      <w:pPr>
        <w:pStyle w:val="ListParagraph"/>
        <w:numPr>
          <w:ilvl w:val="0"/>
          <w:numId w:val="3"/>
        </w:numPr>
        <w:spacing w:after="0"/>
        <w:jc w:val="both"/>
      </w:pPr>
      <w:r>
        <w:t>Не се предоставя помощ на предприятия, които се занимават с преработка и търговия с селскостопански продукти. Следователно мярката е в съответствие с точка 22, буква д) от временната рамка.</w:t>
      </w:r>
    </w:p>
    <w:p w:rsidR="00364B60" w:rsidRPr="00C912BD" w:rsidRDefault="00364B60" w:rsidP="00364B60">
      <w:pPr>
        <w:pStyle w:val="ListParagraph"/>
        <w:spacing w:after="0"/>
        <w:ind w:left="1440"/>
        <w:jc w:val="both"/>
      </w:pPr>
    </w:p>
    <w:p w:rsidR="00C912BD" w:rsidRDefault="00364B60" w:rsidP="00C912BD">
      <w:pPr>
        <w:pStyle w:val="ListParagraph"/>
        <w:spacing w:after="0"/>
        <w:jc w:val="both"/>
      </w:pPr>
      <w:r w:rsidRPr="00364B60">
        <w:t>(39) Българските власти потвърждават, че правилата за мониторинг и докладване, установени в раздел 4 от временната рамка, ще бъдат спазени (съображение 23). По-нататък българските власти потвърждават, че помощта по мярката може да бъде кумулирана само с друга помощ, при условие че се спазват специфичните разпоредби в раздели на Временната рамка и се спазват правилата за кумулиране на съответните регла</w:t>
      </w:r>
      <w:r w:rsidR="00AE359E">
        <w:t>менти (съображения (20) - (22)</w:t>
      </w:r>
      <w:r w:rsidRPr="00364B60">
        <w:t>).</w:t>
      </w:r>
    </w:p>
    <w:p w:rsidR="00364B60" w:rsidRDefault="00364B60" w:rsidP="00C912BD">
      <w:pPr>
        <w:pStyle w:val="ListParagraph"/>
        <w:spacing w:after="0"/>
        <w:jc w:val="both"/>
      </w:pPr>
    </w:p>
    <w:p w:rsidR="00364B60" w:rsidRDefault="00364B60" w:rsidP="00C912BD">
      <w:pPr>
        <w:pStyle w:val="ListParagraph"/>
        <w:spacing w:after="0"/>
        <w:jc w:val="both"/>
      </w:pPr>
      <w:r w:rsidRPr="00364B60">
        <w:t>(40) Следователно Комисията счита, че мярката е необходима, подходяща и пропорционална за отстраняване на сериозни смущения в икономиката на държава-членка съгласно член 107, параграф 3, буква б) от ДФЕС, тъй като тя отговаря на всички съответ</w:t>
      </w:r>
      <w:r>
        <w:t>ни условия на временната рамка.</w:t>
      </w:r>
    </w:p>
    <w:p w:rsidR="00364B60" w:rsidRDefault="00364B60" w:rsidP="00C912BD">
      <w:pPr>
        <w:pStyle w:val="ListParagraph"/>
        <w:spacing w:after="0"/>
        <w:jc w:val="both"/>
      </w:pPr>
    </w:p>
    <w:p w:rsidR="00364B60" w:rsidRPr="00364B60" w:rsidRDefault="00364B60" w:rsidP="00364B60">
      <w:pPr>
        <w:pStyle w:val="ListParagraph"/>
        <w:spacing w:after="0"/>
        <w:jc w:val="both"/>
        <w:rPr>
          <w:b/>
        </w:rPr>
      </w:pPr>
      <w:r w:rsidRPr="00364B60">
        <w:rPr>
          <w:b/>
        </w:rPr>
        <w:t>4. ЗАКЛЮЧЕНИЕ</w:t>
      </w:r>
    </w:p>
    <w:p w:rsidR="00364B60" w:rsidRDefault="00364B60" w:rsidP="00364B60">
      <w:pPr>
        <w:pStyle w:val="ListParagraph"/>
        <w:spacing w:after="0"/>
        <w:jc w:val="both"/>
      </w:pPr>
    </w:p>
    <w:p w:rsidR="00364B60" w:rsidRDefault="00364B60" w:rsidP="00364B60">
      <w:pPr>
        <w:pStyle w:val="ListParagraph"/>
        <w:spacing w:after="0"/>
        <w:jc w:val="both"/>
      </w:pPr>
      <w:r>
        <w:t xml:space="preserve">Комисията </w:t>
      </w:r>
      <w:r w:rsidR="00AE359E">
        <w:t xml:space="preserve">съответно </w:t>
      </w:r>
      <w:r>
        <w:t>реши да не повдига възражения срещу помощта на основание, че тя е съвместима с вътрешния пазар съгласно член 107, параграф 3, буква б) от Договора за функционирането на Европейския съюз.</w:t>
      </w:r>
    </w:p>
    <w:p w:rsidR="00364B60" w:rsidRDefault="00364B60" w:rsidP="00364B60">
      <w:pPr>
        <w:pStyle w:val="ListParagraph"/>
        <w:spacing w:after="0"/>
        <w:jc w:val="both"/>
      </w:pPr>
    </w:p>
    <w:p w:rsidR="00364B60" w:rsidRDefault="00364B60" w:rsidP="00364B60">
      <w:pPr>
        <w:pStyle w:val="ListParagraph"/>
        <w:spacing w:after="0"/>
        <w:jc w:val="both"/>
      </w:pPr>
      <w:r>
        <w:t xml:space="preserve">Решението се основава на неповерителна информация и следователно се публикува изцяло на интернет сайта: </w:t>
      </w:r>
      <w:hyperlink r:id="rId8" w:history="1">
        <w:r w:rsidRPr="00A749CF">
          <w:rPr>
            <w:rStyle w:val="Hyperlink"/>
          </w:rPr>
          <w:t>http://ec.europa.eu/comcharge/elojade/isef/index.cfm</w:t>
        </w:r>
      </w:hyperlink>
      <w:r>
        <w:t>.</w:t>
      </w:r>
    </w:p>
    <w:p w:rsidR="00364B60" w:rsidRDefault="00364B60" w:rsidP="00364B60">
      <w:pPr>
        <w:pStyle w:val="ListParagraph"/>
        <w:spacing w:after="0"/>
        <w:jc w:val="both"/>
      </w:pPr>
    </w:p>
    <w:p w:rsidR="00364B60" w:rsidRDefault="00364B60" w:rsidP="00364B60">
      <w:pPr>
        <w:pStyle w:val="ListParagraph"/>
        <w:spacing w:after="0"/>
        <w:jc w:val="both"/>
      </w:pPr>
      <w:r>
        <w:lastRenderedPageBreak/>
        <w:t>Искрено Ваша,</w:t>
      </w:r>
    </w:p>
    <w:p w:rsidR="00364B60" w:rsidRDefault="00364B60" w:rsidP="00364B60">
      <w:pPr>
        <w:pStyle w:val="ListParagraph"/>
        <w:spacing w:after="0"/>
        <w:jc w:val="both"/>
      </w:pPr>
    </w:p>
    <w:p w:rsidR="00364B60" w:rsidRDefault="00364B60" w:rsidP="00364B60">
      <w:pPr>
        <w:pStyle w:val="ListParagraph"/>
        <w:spacing w:after="0"/>
        <w:ind w:left="4968" w:firstLine="696"/>
        <w:jc w:val="both"/>
      </w:pPr>
      <w:r>
        <w:t>За Комисията</w:t>
      </w:r>
    </w:p>
    <w:p w:rsidR="00364B60" w:rsidRDefault="00364B60" w:rsidP="00364B60">
      <w:pPr>
        <w:pStyle w:val="ListParagraph"/>
        <w:spacing w:after="0"/>
        <w:jc w:val="both"/>
      </w:pPr>
    </w:p>
    <w:p w:rsidR="00364B60" w:rsidRDefault="00364B60" w:rsidP="00364B60">
      <w:pPr>
        <w:pStyle w:val="ListParagraph"/>
        <w:spacing w:after="0"/>
        <w:ind w:left="4968" w:firstLine="696"/>
        <w:jc w:val="both"/>
      </w:pPr>
      <w:r>
        <w:t>Маргрете ВЕСТАГЪР</w:t>
      </w:r>
    </w:p>
    <w:p w:rsidR="00364B60" w:rsidRDefault="00364B60" w:rsidP="00364B60">
      <w:pPr>
        <w:pStyle w:val="ListParagraph"/>
        <w:spacing w:after="0"/>
        <w:ind w:left="4968" w:firstLine="696"/>
        <w:jc w:val="both"/>
      </w:pPr>
      <w:r>
        <w:t>Изпълнителен вицепрезидент на ЕК</w:t>
      </w:r>
    </w:p>
    <w:p w:rsidR="00364B60" w:rsidRDefault="00364B60" w:rsidP="00364B60">
      <w:pPr>
        <w:pStyle w:val="ListParagraph"/>
        <w:spacing w:after="0"/>
        <w:ind w:left="4968" w:firstLine="696"/>
        <w:jc w:val="both"/>
      </w:pPr>
    </w:p>
    <w:p w:rsidR="00364B60" w:rsidRPr="00364B60" w:rsidRDefault="00364B60" w:rsidP="00AE359E">
      <w:pPr>
        <w:pStyle w:val="ListParagraph"/>
        <w:pBdr>
          <w:top w:val="single" w:sz="4" w:space="1" w:color="auto"/>
          <w:left w:val="single" w:sz="4" w:space="0" w:color="auto"/>
          <w:bottom w:val="single" w:sz="4" w:space="1" w:color="auto"/>
          <w:right w:val="single" w:sz="4" w:space="4" w:color="auto"/>
        </w:pBdr>
        <w:spacing w:after="0"/>
        <w:ind w:left="4968" w:firstLine="696"/>
        <w:jc w:val="both"/>
        <w:rPr>
          <w:lang w:val="en-US"/>
        </w:rPr>
      </w:pPr>
      <w:r w:rsidRPr="00364B60">
        <w:rPr>
          <w:lang w:val="en-US"/>
        </w:rPr>
        <w:t>СЕРТИФИЦИРАН</w:t>
      </w:r>
      <w:r>
        <w:t>О</w:t>
      </w:r>
      <w:r>
        <w:rPr>
          <w:lang w:val="en-US"/>
        </w:rPr>
        <w:t xml:space="preserve"> КОПИ</w:t>
      </w:r>
      <w:r>
        <w:t>Е</w:t>
      </w:r>
    </w:p>
    <w:p w:rsidR="00364B60" w:rsidRDefault="00364B60" w:rsidP="00AE359E">
      <w:pPr>
        <w:pStyle w:val="ListParagraph"/>
        <w:pBdr>
          <w:top w:val="single" w:sz="4" w:space="1" w:color="auto"/>
          <w:left w:val="single" w:sz="4" w:space="0" w:color="auto"/>
          <w:bottom w:val="single" w:sz="4" w:space="1" w:color="auto"/>
          <w:right w:val="single" w:sz="4" w:space="4" w:color="auto"/>
        </w:pBdr>
        <w:spacing w:after="0"/>
        <w:ind w:left="4968" w:firstLine="696"/>
        <w:jc w:val="both"/>
        <w:rPr>
          <w:lang w:val="en-US"/>
        </w:rPr>
      </w:pPr>
      <w:r w:rsidRPr="00364B60">
        <w:rPr>
          <w:lang w:val="en-US"/>
        </w:rPr>
        <w:t>За генералния секретар,</w:t>
      </w:r>
    </w:p>
    <w:p w:rsidR="00364B60" w:rsidRDefault="00364B60" w:rsidP="00AE359E">
      <w:pPr>
        <w:pStyle w:val="ListParagraph"/>
        <w:pBdr>
          <w:top w:val="single" w:sz="4" w:space="1" w:color="auto"/>
          <w:left w:val="single" w:sz="4" w:space="0" w:color="auto"/>
          <w:bottom w:val="single" w:sz="4" w:space="1" w:color="auto"/>
          <w:right w:val="single" w:sz="4" w:space="4" w:color="auto"/>
        </w:pBdr>
        <w:spacing w:after="0"/>
        <w:ind w:left="4968" w:firstLine="696"/>
        <w:jc w:val="both"/>
        <w:rPr>
          <w:lang w:val="en-US"/>
        </w:rPr>
      </w:pPr>
    </w:p>
    <w:p w:rsidR="00364B60" w:rsidRDefault="00AE359E" w:rsidP="00AE359E">
      <w:pPr>
        <w:pStyle w:val="ListParagraph"/>
        <w:pBdr>
          <w:top w:val="single" w:sz="4" w:space="1" w:color="auto"/>
          <w:left w:val="single" w:sz="4" w:space="0" w:color="auto"/>
          <w:bottom w:val="single" w:sz="4" w:space="1" w:color="auto"/>
          <w:right w:val="single" w:sz="4" w:space="4" w:color="auto"/>
        </w:pBdr>
        <w:spacing w:after="0"/>
        <w:ind w:left="4968" w:firstLine="696"/>
        <w:jc w:val="both"/>
      </w:pPr>
      <w:r>
        <w:t>Jordi AYET PUIGARNAU</w:t>
      </w:r>
    </w:p>
    <w:p w:rsidR="00364B60" w:rsidRDefault="00364B60" w:rsidP="00AE359E">
      <w:pPr>
        <w:pStyle w:val="ListParagraph"/>
        <w:pBdr>
          <w:top w:val="single" w:sz="4" w:space="1" w:color="auto"/>
          <w:left w:val="single" w:sz="4" w:space="0" w:color="auto"/>
          <w:bottom w:val="single" w:sz="4" w:space="1" w:color="auto"/>
          <w:right w:val="single" w:sz="4" w:space="4" w:color="auto"/>
        </w:pBdr>
        <w:spacing w:after="0"/>
        <w:ind w:left="4968" w:firstLine="696"/>
        <w:jc w:val="both"/>
      </w:pPr>
      <w:r>
        <w:t>Директор на Регистъра</w:t>
      </w:r>
    </w:p>
    <w:p w:rsidR="00364B60" w:rsidRPr="00364B60" w:rsidRDefault="00364B60" w:rsidP="00AE359E">
      <w:pPr>
        <w:pStyle w:val="ListParagraph"/>
        <w:pBdr>
          <w:top w:val="single" w:sz="4" w:space="1" w:color="auto"/>
          <w:left w:val="single" w:sz="4" w:space="0" w:color="auto"/>
          <w:bottom w:val="single" w:sz="4" w:space="1" w:color="auto"/>
          <w:right w:val="single" w:sz="4" w:space="4" w:color="auto"/>
        </w:pBdr>
        <w:spacing w:after="0"/>
        <w:ind w:left="4968" w:firstLine="696"/>
        <w:jc w:val="both"/>
      </w:pPr>
      <w:r>
        <w:t>ЕВРОПЕЙСКА КОМИСИЯ</w:t>
      </w:r>
    </w:p>
    <w:sectPr w:rsidR="00364B60" w:rsidRPr="00364B60" w:rsidSect="00AE359E">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FDE" w:rsidRDefault="00E34FDE" w:rsidP="0005032A">
      <w:pPr>
        <w:spacing w:after="0" w:line="240" w:lineRule="auto"/>
      </w:pPr>
      <w:r>
        <w:separator/>
      </w:r>
    </w:p>
  </w:endnote>
  <w:endnote w:type="continuationSeparator" w:id="0">
    <w:p w:rsidR="00E34FDE" w:rsidRDefault="00E34FDE" w:rsidP="0005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FDE" w:rsidRDefault="00E34FDE" w:rsidP="0005032A">
      <w:pPr>
        <w:spacing w:after="0" w:line="240" w:lineRule="auto"/>
      </w:pPr>
      <w:r>
        <w:separator/>
      </w:r>
    </w:p>
  </w:footnote>
  <w:footnote w:type="continuationSeparator" w:id="0">
    <w:p w:rsidR="00E34FDE" w:rsidRDefault="00E34FDE" w:rsidP="0005032A">
      <w:pPr>
        <w:spacing w:after="0" w:line="240" w:lineRule="auto"/>
      </w:pPr>
      <w:r>
        <w:continuationSeparator/>
      </w:r>
    </w:p>
  </w:footnote>
  <w:footnote w:id="1">
    <w:p w:rsidR="000E5866" w:rsidRPr="000E5866" w:rsidRDefault="000E5866" w:rsidP="0005032A">
      <w:pPr>
        <w:pStyle w:val="FootnoteText"/>
        <w:jc w:val="both"/>
        <w:rPr>
          <w:sz w:val="18"/>
          <w:szCs w:val="18"/>
        </w:rPr>
      </w:pPr>
      <w:r w:rsidRPr="000E5866">
        <w:t xml:space="preserve">* </w:t>
      </w:r>
      <w:r w:rsidRPr="000E5866">
        <w:rPr>
          <w:sz w:val="18"/>
          <w:szCs w:val="18"/>
        </w:rPr>
        <w:t xml:space="preserve">Инструкциите за работа с ЧУВСТВИТЕЛНА информация са дадени на </w:t>
      </w:r>
      <w:hyperlink r:id="rId1" w:history="1">
        <w:r w:rsidRPr="000E5866">
          <w:rPr>
            <w:rStyle w:val="Hyperlink"/>
            <w:sz w:val="18"/>
            <w:szCs w:val="18"/>
          </w:rPr>
          <w:t>https://europa.eu/!db43PX</w:t>
        </w:r>
      </w:hyperlink>
    </w:p>
    <w:p w:rsidR="000E5866" w:rsidRDefault="000E5866" w:rsidP="0005032A">
      <w:pPr>
        <w:pStyle w:val="FootnoteText"/>
        <w:jc w:val="both"/>
      </w:pPr>
    </w:p>
    <w:p w:rsidR="0005032A" w:rsidRDefault="0005032A" w:rsidP="0005032A">
      <w:pPr>
        <w:pStyle w:val="FootnoteText"/>
        <w:jc w:val="both"/>
      </w:pPr>
      <w:r>
        <w:rPr>
          <w:rStyle w:val="FootnoteReference"/>
        </w:rPr>
        <w:footnoteRef/>
      </w:r>
      <w:r>
        <w:t xml:space="preserve"> </w:t>
      </w:r>
      <w:r w:rsidRPr="000E5866">
        <w:rPr>
          <w:sz w:val="18"/>
          <w:szCs w:val="18"/>
        </w:rPr>
        <w:t xml:space="preserve">Съобщение на Комисията - Временна рамка за мерките за държавна помощ в подкрепа на икономиката </w:t>
      </w:r>
      <w:r w:rsidR="000E5866" w:rsidRPr="000E5866">
        <w:rPr>
          <w:rFonts w:cstheme="minorHAnsi"/>
          <w:sz w:val="18"/>
          <w:szCs w:val="18"/>
          <w:shd w:val="clear" w:color="auto" w:fill="FFFFFF"/>
        </w:rPr>
        <w:t>в условията на сегашния епидемичен взрив от </w:t>
      </w:r>
      <w:r w:rsidR="000E5866" w:rsidRPr="000E5866">
        <w:rPr>
          <w:rStyle w:val="Emphasis"/>
          <w:rFonts w:cstheme="minorHAnsi"/>
          <w:bCs/>
          <w:i w:val="0"/>
          <w:iCs w:val="0"/>
          <w:sz w:val="18"/>
          <w:szCs w:val="18"/>
          <w:shd w:val="clear" w:color="auto" w:fill="FFFFFF"/>
        </w:rPr>
        <w:t>COVID-19</w:t>
      </w:r>
      <w:r w:rsidRPr="000E5866">
        <w:rPr>
          <w:sz w:val="18"/>
          <w:szCs w:val="18"/>
        </w:rPr>
        <w:t xml:space="preserve">, ОВ C 91I, 20.3.2020 г., стр. 1, изменен със съобщение на Комисията C (2020) 2215 окончателен от 3 април 2020 г. относно изменението на временната рамка за мерки за държавна помощ </w:t>
      </w:r>
      <w:r w:rsidR="000E5866" w:rsidRPr="000E5866">
        <w:rPr>
          <w:sz w:val="18"/>
          <w:szCs w:val="18"/>
        </w:rPr>
        <w:t>в подкрепа на икономиката в условията на сегашния епидемичен взрив от COVID-19</w:t>
      </w:r>
      <w:r w:rsidRPr="000E5866">
        <w:rPr>
          <w:sz w:val="18"/>
          <w:szCs w:val="18"/>
        </w:rPr>
        <w:t xml:space="preserve">, ОВ C 112I, 4.4.2020, стр. 1, със съобщение на Комисията C (2020) 3156 окончателен от 8 май 2020 г. относно изменението на временната рамка за мерки за държавна помощ </w:t>
      </w:r>
      <w:r w:rsidR="000E5866" w:rsidRPr="000E5866">
        <w:rPr>
          <w:sz w:val="18"/>
          <w:szCs w:val="18"/>
        </w:rPr>
        <w:t>в подкрепа на икономиката в условията на сегашния епидемичен взрив от COVID-19</w:t>
      </w:r>
      <w:r w:rsidRPr="000E5866">
        <w:rPr>
          <w:sz w:val="18"/>
          <w:szCs w:val="18"/>
        </w:rPr>
        <w:t xml:space="preserve">, ОВ C 164, 13.5.2020 г., стр. 3 и със съобщение на Комисията C (2020) 4509 окончателен от 29 юни 2020 г. относно третата поправка на временната рамка за мерки за държавна помощ </w:t>
      </w:r>
      <w:r w:rsidR="000E5866" w:rsidRPr="000E5866">
        <w:rPr>
          <w:sz w:val="18"/>
          <w:szCs w:val="18"/>
        </w:rPr>
        <w:t xml:space="preserve">в подкрепа </w:t>
      </w:r>
      <w:r w:rsidRPr="000E5866">
        <w:rPr>
          <w:sz w:val="18"/>
          <w:szCs w:val="18"/>
        </w:rPr>
        <w:t xml:space="preserve">на икономиката </w:t>
      </w:r>
      <w:r w:rsidR="000E5866" w:rsidRPr="000E5866">
        <w:rPr>
          <w:sz w:val="18"/>
          <w:szCs w:val="18"/>
        </w:rPr>
        <w:t xml:space="preserve">в условията на сегашния епидемичен взрив от </w:t>
      </w:r>
      <w:r w:rsidRPr="000E5866">
        <w:rPr>
          <w:sz w:val="18"/>
          <w:szCs w:val="18"/>
        </w:rPr>
        <w:t>COVID-19, ОВ C 218, 2.7.2020, стр. , 3.</w:t>
      </w:r>
    </w:p>
  </w:footnote>
  <w:footnote w:id="2">
    <w:p w:rsidR="000E5866" w:rsidRDefault="000E5866">
      <w:pPr>
        <w:pStyle w:val="FootnoteText"/>
      </w:pPr>
      <w:r>
        <w:rPr>
          <w:rStyle w:val="FootnoteReference"/>
        </w:rPr>
        <w:footnoteRef/>
      </w:r>
      <w:r>
        <w:t xml:space="preserve"> </w:t>
      </w:r>
      <w:r w:rsidRPr="000E5866">
        <w:rPr>
          <w:sz w:val="18"/>
          <w:szCs w:val="18"/>
        </w:rPr>
        <w:t>Регламент № 1 за определяне на езиците, които да се използват от Европейската икономическа общност, ОВ 17, 6.10.1958 г., стр. 385.</w:t>
      </w:r>
    </w:p>
  </w:footnote>
  <w:footnote w:id="3">
    <w:p w:rsidR="007037D6" w:rsidRDefault="007037D6">
      <w:pPr>
        <w:pStyle w:val="FootnoteText"/>
        <w:rPr>
          <w:sz w:val="18"/>
          <w:szCs w:val="18"/>
        </w:rPr>
      </w:pPr>
      <w:r>
        <w:rPr>
          <w:rStyle w:val="FootnoteReference"/>
        </w:rPr>
        <w:footnoteRef/>
      </w:r>
      <w:r>
        <w:t xml:space="preserve"> </w:t>
      </w:r>
      <w:r w:rsidRPr="007037D6">
        <w:rPr>
          <w:sz w:val="18"/>
          <w:szCs w:val="18"/>
        </w:rPr>
        <w:t>В</w:t>
      </w:r>
      <w:r>
        <w:rPr>
          <w:sz w:val="18"/>
          <w:szCs w:val="18"/>
        </w:rPr>
        <w:t>алутен курс: 1 лв. = 0.</w:t>
      </w:r>
      <w:r w:rsidRPr="007037D6">
        <w:rPr>
          <w:sz w:val="18"/>
          <w:szCs w:val="18"/>
        </w:rPr>
        <w:t xml:space="preserve">5113 евро, взет през юли 2020 г. от: </w:t>
      </w:r>
      <w:hyperlink r:id="rId2" w:history="1">
        <w:r w:rsidRPr="00A749CF">
          <w:rPr>
            <w:rStyle w:val="Hyperlink"/>
            <w:sz w:val="18"/>
            <w:szCs w:val="18"/>
          </w:rPr>
          <w:t>https://ec.europa.eu/info/fundingtenders/how-eu-funding-works/information-contractors-and-beneficiaries/exchange-rate-inforeuro_en</w:t>
        </w:r>
      </w:hyperlink>
    </w:p>
    <w:p w:rsidR="007037D6" w:rsidRPr="007037D6" w:rsidRDefault="007037D6">
      <w:pPr>
        <w:pStyle w:val="FootnoteText"/>
        <w:rPr>
          <w:sz w:val="18"/>
          <w:szCs w:val="18"/>
        </w:rPr>
      </w:pPr>
    </w:p>
  </w:footnote>
  <w:footnote w:id="4">
    <w:p w:rsidR="00887DB2" w:rsidRDefault="00887DB2" w:rsidP="00887DB2">
      <w:pPr>
        <w:pStyle w:val="FootnoteText"/>
        <w:jc w:val="both"/>
      </w:pPr>
      <w:r>
        <w:rPr>
          <w:rStyle w:val="FootnoteReference"/>
        </w:rPr>
        <w:footnoteRef/>
      </w:r>
      <w:r>
        <w:t xml:space="preserve"> </w:t>
      </w:r>
      <w:r w:rsidRPr="00887DB2">
        <w:rPr>
          <w:sz w:val="18"/>
          <w:szCs w:val="18"/>
        </w:rPr>
        <w:t>Както е дефинирано в член 2, параграф 18 от Регламент (ЕС) № 651/2014 на Комисията от 17 юни 2014 г. за обявява</w:t>
      </w:r>
      <w:r>
        <w:rPr>
          <w:sz w:val="18"/>
          <w:szCs w:val="18"/>
        </w:rPr>
        <w:t xml:space="preserve">не на някои категории помощи </w:t>
      </w:r>
      <w:r w:rsidRPr="00887DB2">
        <w:rPr>
          <w:sz w:val="18"/>
          <w:szCs w:val="18"/>
        </w:rPr>
        <w:t>съвместими с вътрешния пазар при прилагане на членове 107 и 108 от Договора, ОВ L 187, 26.6.2014 г. , стр. 1.</w:t>
      </w:r>
    </w:p>
  </w:footnote>
  <w:footnote w:id="5">
    <w:p w:rsidR="00887DB2" w:rsidRDefault="00887DB2" w:rsidP="00887DB2">
      <w:pPr>
        <w:pStyle w:val="FootnoteText"/>
        <w:jc w:val="both"/>
        <w:rPr>
          <w:sz w:val="18"/>
          <w:szCs w:val="18"/>
        </w:rPr>
      </w:pPr>
      <w:r>
        <w:rPr>
          <w:rStyle w:val="FootnoteReference"/>
        </w:rPr>
        <w:footnoteRef/>
      </w:r>
      <w:r>
        <w:t xml:space="preserve"> </w:t>
      </w:r>
      <w:r w:rsidRPr="00887DB2">
        <w:rPr>
          <w:sz w:val="18"/>
          <w:szCs w:val="18"/>
        </w:rPr>
        <w:t>Регламент (ЕС) № 1407/2013 на Комисията от 18 декември 2013 г. относно прилагането на членове 107 и 108 от Договора за функционирането на Европейския съюз за помощ de minimis (ОВ L 352, 24.12.2013 г., стр. 1) и Регламент (ЕС) № 360/2012 на Комисията от 25 април 2012 г. относно прилагането на членове 107 и 108 от Договора за функционирането на Европейския съюз за помощ de minimis, предоставена на предприятия, предоставящи услуги от общ икономически интерес (ОВ L 114, 26.4.2012 г., стр. 8).</w:t>
      </w:r>
    </w:p>
    <w:p w:rsidR="00887DB2" w:rsidRPr="00887DB2" w:rsidRDefault="00887DB2" w:rsidP="00887DB2">
      <w:pPr>
        <w:pStyle w:val="FootnoteText"/>
        <w:jc w:val="both"/>
        <w:rPr>
          <w:sz w:val="18"/>
          <w:szCs w:val="18"/>
        </w:rPr>
      </w:pPr>
    </w:p>
  </w:footnote>
  <w:footnote w:id="6">
    <w:p w:rsidR="00887DB2" w:rsidRDefault="00887DB2">
      <w:pPr>
        <w:pStyle w:val="FootnoteText"/>
      </w:pPr>
      <w:r>
        <w:rPr>
          <w:rStyle w:val="FootnoteReference"/>
        </w:rPr>
        <w:footnoteRef/>
      </w:r>
      <w:r>
        <w:t xml:space="preserve"> </w:t>
      </w:r>
      <w:r w:rsidRPr="00887DB2">
        <w:rPr>
          <w:sz w:val="18"/>
          <w:szCs w:val="18"/>
        </w:rPr>
        <w:t>Регламент (ЕС) № 651/2014 на Комисията от 17 юни 2014 г. за обявяване на някои категории помощи за съвместими с вътрешния пазар в изпълнение на членове 107 и 108 от Договора, ОВ L 187 от 26.6.2014 г., стр. 1.</w:t>
      </w:r>
    </w:p>
  </w:footnote>
  <w:footnote w:id="7">
    <w:p w:rsidR="0099459E" w:rsidRPr="0099459E" w:rsidRDefault="0099459E" w:rsidP="0099459E">
      <w:pPr>
        <w:pStyle w:val="FootnoteText"/>
        <w:jc w:val="both"/>
        <w:rPr>
          <w:sz w:val="18"/>
          <w:szCs w:val="18"/>
        </w:rPr>
      </w:pPr>
      <w:r>
        <w:rPr>
          <w:rStyle w:val="FootnoteReference"/>
        </w:rPr>
        <w:footnoteRef/>
      </w:r>
      <w:r>
        <w:t xml:space="preserve"> </w:t>
      </w:r>
      <w:r w:rsidRPr="0099459E">
        <w:rPr>
          <w:sz w:val="18"/>
          <w:szCs w:val="18"/>
        </w:rPr>
        <w:t>Позовавайки се на информация, изисквана в приложение III към Регламент (ЕС) № 651/2014 на Комисията и приложение III към Регламент (ЕС) № 702/2014 на Комисията и приложение III към Регламент (ЕС) № 1388/2014 на Комисията.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66" w:rsidRDefault="000E5866">
    <w:pPr>
      <w:pStyle w:val="Header"/>
    </w:pPr>
    <w:r>
      <w:rPr>
        <w:noProof/>
        <w:lang w:val="en-US"/>
      </w:rPr>
      <w:drawing>
        <wp:inline distT="0" distB="0" distL="0" distR="0" wp14:anchorId="60376962" wp14:editId="48D2CC43">
          <wp:extent cx="1176793" cy="715618"/>
          <wp:effectExtent l="0" t="0" r="4445" b="8890"/>
          <wp:docPr id="2" name="Picture 2" descr="Европейска комисия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вропейска комисия – У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606" cy="716112"/>
                  </a:xfrm>
                  <a:prstGeom prst="rect">
                    <a:avLst/>
                  </a:prstGeom>
                  <a:noFill/>
                  <a:ln>
                    <a:noFill/>
                  </a:ln>
                </pic:spPr>
              </pic:pic>
            </a:graphicData>
          </a:graphic>
        </wp:inline>
      </w:drawing>
    </w:r>
    <w:r>
      <w:t>ЕВРОПЕЙСКА КОМИСИЯ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E5C16"/>
    <w:multiLevelType w:val="multilevel"/>
    <w:tmpl w:val="C4823B7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B4C6238"/>
    <w:multiLevelType w:val="hybridMultilevel"/>
    <w:tmpl w:val="CBE21074"/>
    <w:lvl w:ilvl="0" w:tplc="60F27F5A">
      <w:start w:val="1"/>
      <w:numFmt w:val="bullet"/>
      <w:lvlText w:val="•"/>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6EAD3E21"/>
    <w:multiLevelType w:val="hybridMultilevel"/>
    <w:tmpl w:val="EE164442"/>
    <w:lvl w:ilvl="0" w:tplc="EEDAC280">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2A"/>
    <w:rsid w:val="00012C60"/>
    <w:rsid w:val="0005032A"/>
    <w:rsid w:val="00082EA0"/>
    <w:rsid w:val="000E5866"/>
    <w:rsid w:val="001171B3"/>
    <w:rsid w:val="00143303"/>
    <w:rsid w:val="00156601"/>
    <w:rsid w:val="001B0410"/>
    <w:rsid w:val="002727DA"/>
    <w:rsid w:val="00364B60"/>
    <w:rsid w:val="005779A3"/>
    <w:rsid w:val="007037D6"/>
    <w:rsid w:val="00753FD9"/>
    <w:rsid w:val="00887DB2"/>
    <w:rsid w:val="009152E4"/>
    <w:rsid w:val="0099459E"/>
    <w:rsid w:val="00A958A6"/>
    <w:rsid w:val="00AB1598"/>
    <w:rsid w:val="00AE359E"/>
    <w:rsid w:val="00BB7AE7"/>
    <w:rsid w:val="00C912BD"/>
    <w:rsid w:val="00D0271F"/>
    <w:rsid w:val="00D277C0"/>
    <w:rsid w:val="00E34FDE"/>
    <w:rsid w:val="00E40EA7"/>
    <w:rsid w:val="00E60339"/>
    <w:rsid w:val="00EF56F5"/>
    <w:rsid w:val="00F508C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F4A20-FFE7-4E83-A14E-D8ADE5E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3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032A"/>
  </w:style>
  <w:style w:type="paragraph" w:styleId="Footer">
    <w:name w:val="footer"/>
    <w:basedOn w:val="Normal"/>
    <w:link w:val="FooterChar"/>
    <w:uiPriority w:val="99"/>
    <w:unhideWhenUsed/>
    <w:rsid w:val="000503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032A"/>
  </w:style>
  <w:style w:type="paragraph" w:styleId="BalloonText">
    <w:name w:val="Balloon Text"/>
    <w:basedOn w:val="Normal"/>
    <w:link w:val="BalloonTextChar"/>
    <w:uiPriority w:val="99"/>
    <w:semiHidden/>
    <w:unhideWhenUsed/>
    <w:rsid w:val="0005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32A"/>
    <w:rPr>
      <w:rFonts w:ascii="Tahoma" w:hAnsi="Tahoma" w:cs="Tahoma"/>
      <w:sz w:val="16"/>
      <w:szCs w:val="16"/>
    </w:rPr>
  </w:style>
  <w:style w:type="paragraph" w:styleId="ListParagraph">
    <w:name w:val="List Paragraph"/>
    <w:basedOn w:val="Normal"/>
    <w:uiPriority w:val="34"/>
    <w:qFormat/>
    <w:rsid w:val="0005032A"/>
    <w:pPr>
      <w:ind w:left="720"/>
      <w:contextualSpacing/>
    </w:pPr>
  </w:style>
  <w:style w:type="character" w:styleId="Emphasis">
    <w:name w:val="Emphasis"/>
    <w:basedOn w:val="DefaultParagraphFont"/>
    <w:uiPriority w:val="20"/>
    <w:qFormat/>
    <w:rsid w:val="0005032A"/>
    <w:rPr>
      <w:i/>
      <w:iCs/>
    </w:rPr>
  </w:style>
  <w:style w:type="paragraph" w:styleId="FootnoteText">
    <w:name w:val="footnote text"/>
    <w:basedOn w:val="Normal"/>
    <w:link w:val="FootnoteTextChar"/>
    <w:uiPriority w:val="99"/>
    <w:semiHidden/>
    <w:unhideWhenUsed/>
    <w:rsid w:val="00050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32A"/>
    <w:rPr>
      <w:sz w:val="20"/>
      <w:szCs w:val="20"/>
    </w:rPr>
  </w:style>
  <w:style w:type="character" w:styleId="FootnoteReference">
    <w:name w:val="footnote reference"/>
    <w:basedOn w:val="DefaultParagraphFont"/>
    <w:uiPriority w:val="99"/>
    <w:semiHidden/>
    <w:unhideWhenUsed/>
    <w:rsid w:val="0005032A"/>
    <w:rPr>
      <w:vertAlign w:val="superscript"/>
    </w:rPr>
  </w:style>
  <w:style w:type="character" w:styleId="Hyperlink">
    <w:name w:val="Hyperlink"/>
    <w:basedOn w:val="DefaultParagraphFont"/>
    <w:uiPriority w:val="99"/>
    <w:unhideWhenUsed/>
    <w:rsid w:val="000E5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mcharge/elojade/isef/index.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how-eu-funding-works/information-contractors-and-beneficiaries/exchange-rate-inforeuro_en" TargetMode="External"/><Relationship Id="rId1" Type="http://schemas.openxmlformats.org/officeDocument/2006/relationships/hyperlink" Target="https://europa.eu/!db43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FE40-FE0C-4049-9DB2-243E85F0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Maya Nikovska</cp:lastModifiedBy>
  <cp:revision>2</cp:revision>
  <dcterms:created xsi:type="dcterms:W3CDTF">2020-07-28T11:38:00Z</dcterms:created>
  <dcterms:modified xsi:type="dcterms:W3CDTF">2020-07-28T11:38:00Z</dcterms:modified>
</cp:coreProperties>
</file>