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FBFBF"/>
  <w:body>
    <w:p w:rsidR="00294D88" w:rsidRDefault="00294D88" w:rsidP="00DD2210">
      <w:pPr>
        <w:pStyle w:val="Title"/>
        <w:tabs>
          <w:tab w:val="left" w:pos="284"/>
        </w:tabs>
        <w:rPr>
          <w:lang w:val="bg-BG"/>
        </w:rPr>
      </w:pPr>
      <w:r w:rsidRPr="005F30B6">
        <w:t xml:space="preserve">МЕЖДУНАРОДЕН ТУРИЗЪМ – БЪЛГАРИЯ </w:t>
      </w:r>
    </w:p>
    <w:p w:rsidR="00294D88" w:rsidRPr="005F30B6" w:rsidRDefault="00727031" w:rsidP="00A04B7F">
      <w:pPr>
        <w:pStyle w:val="Title"/>
        <w:rPr>
          <w:lang w:val="bg-BG"/>
        </w:rPr>
      </w:pPr>
      <w:r>
        <w:rPr>
          <w:lang w:val="bg-BG"/>
        </w:rPr>
        <w:t>ЯНУАРИ</w:t>
      </w:r>
      <w:r w:rsidR="00AB5C9D">
        <w:rPr>
          <w:lang w:val="bg-BG"/>
        </w:rPr>
        <w:t xml:space="preserve"> </w:t>
      </w:r>
      <w:r w:rsidR="00FD10DB">
        <w:rPr>
          <w:lang w:val="bg-BG"/>
        </w:rPr>
        <w:t>–</w:t>
      </w:r>
      <w:r w:rsidR="00C5692B">
        <w:rPr>
          <w:lang w:val="bg-BG"/>
        </w:rPr>
        <w:t xml:space="preserve"> </w:t>
      </w:r>
      <w:r w:rsidR="00A04B7F">
        <w:rPr>
          <w:lang w:val="bg-BG"/>
        </w:rPr>
        <w:t xml:space="preserve">ОКТОМВРИ </w:t>
      </w:r>
      <w:r w:rsidR="00B5474B">
        <w:t>201</w:t>
      </w:r>
      <w:r>
        <w:rPr>
          <w:lang w:val="bg-BG"/>
        </w:rPr>
        <w:t>9</w:t>
      </w:r>
      <w:r w:rsidR="00294D88">
        <w:t xml:space="preserve"> г.</w:t>
      </w:r>
    </w:p>
    <w:p w:rsidR="00294D88" w:rsidRDefault="00FF463E" w:rsidP="005F30B6">
      <w:pPr>
        <w:pStyle w:val="Heading1"/>
      </w:pPr>
      <w:r>
        <w:t xml:space="preserve">Входящ туризъм </w:t>
      </w:r>
    </w:p>
    <w:p w:rsidR="00294D88" w:rsidRPr="00826898" w:rsidRDefault="00261225" w:rsidP="00195ED6">
      <w:pPr>
        <w:jc w:val="both"/>
        <w:rPr>
          <w:b/>
          <w:color w:val="auto"/>
          <w:szCs w:val="24"/>
        </w:rPr>
      </w:pPr>
      <w:r w:rsidRPr="00826898">
        <w:rPr>
          <w:color w:val="auto"/>
          <w:szCs w:val="24"/>
        </w:rPr>
        <w:t>През</w:t>
      </w:r>
      <w:r w:rsidR="00361F96" w:rsidRPr="00826898">
        <w:rPr>
          <w:color w:val="auto"/>
          <w:szCs w:val="24"/>
        </w:rPr>
        <w:t xml:space="preserve"> </w:t>
      </w:r>
      <w:r w:rsidR="00151932" w:rsidRPr="00826898">
        <w:rPr>
          <w:color w:val="auto"/>
          <w:szCs w:val="24"/>
        </w:rPr>
        <w:t xml:space="preserve">периода </w:t>
      </w:r>
      <w:r w:rsidR="00AB5C9D">
        <w:rPr>
          <w:b/>
          <w:bCs/>
          <w:color w:val="auto"/>
          <w:szCs w:val="24"/>
        </w:rPr>
        <w:t>януари</w:t>
      </w:r>
      <w:r w:rsidR="00151932" w:rsidRPr="00826898">
        <w:rPr>
          <w:b/>
          <w:bCs/>
          <w:color w:val="auto"/>
          <w:szCs w:val="24"/>
        </w:rPr>
        <w:t xml:space="preserve"> </w:t>
      </w:r>
      <w:r w:rsidR="00FD10DB">
        <w:rPr>
          <w:b/>
          <w:bCs/>
          <w:color w:val="auto"/>
          <w:szCs w:val="24"/>
        </w:rPr>
        <w:t>–</w:t>
      </w:r>
      <w:r w:rsidR="00361F96" w:rsidRPr="00826898">
        <w:rPr>
          <w:color w:val="auto"/>
          <w:szCs w:val="24"/>
        </w:rPr>
        <w:t xml:space="preserve"> </w:t>
      </w:r>
      <w:r w:rsidR="00195ED6">
        <w:rPr>
          <w:b/>
          <w:bCs/>
          <w:color w:val="auto"/>
          <w:szCs w:val="24"/>
        </w:rPr>
        <w:t>окто</w:t>
      </w:r>
      <w:r w:rsidR="006C4791">
        <w:rPr>
          <w:b/>
          <w:bCs/>
          <w:color w:val="auto"/>
          <w:szCs w:val="24"/>
        </w:rPr>
        <w:t>мври</w:t>
      </w:r>
      <w:r w:rsidR="00FD10DB">
        <w:rPr>
          <w:b/>
          <w:bCs/>
          <w:color w:val="auto"/>
          <w:szCs w:val="24"/>
        </w:rPr>
        <w:t xml:space="preserve"> </w:t>
      </w:r>
      <w:r w:rsidR="00727031">
        <w:rPr>
          <w:b/>
          <w:bCs/>
          <w:color w:val="auto"/>
          <w:szCs w:val="24"/>
        </w:rPr>
        <w:t>2019</w:t>
      </w:r>
      <w:r w:rsidR="00294D88" w:rsidRPr="00826898">
        <w:rPr>
          <w:b/>
          <w:bCs/>
          <w:color w:val="auto"/>
          <w:szCs w:val="24"/>
        </w:rPr>
        <w:t xml:space="preserve"> г</w:t>
      </w:r>
      <w:r w:rsidR="00294D88" w:rsidRPr="00826898">
        <w:rPr>
          <w:b/>
          <w:color w:val="auto"/>
          <w:szCs w:val="24"/>
        </w:rPr>
        <w:t>.</w:t>
      </w:r>
      <w:r w:rsidR="00294D88" w:rsidRPr="00826898">
        <w:rPr>
          <w:color w:val="auto"/>
          <w:szCs w:val="24"/>
        </w:rPr>
        <w:t xml:space="preserve"> общият брой</w:t>
      </w:r>
      <w:r w:rsidR="004902A6" w:rsidRPr="00826898">
        <w:rPr>
          <w:color w:val="auto"/>
          <w:szCs w:val="24"/>
        </w:rPr>
        <w:t xml:space="preserve"> туристически</w:t>
      </w:r>
      <w:r w:rsidR="00294D88" w:rsidRPr="00826898">
        <w:rPr>
          <w:color w:val="auto"/>
          <w:szCs w:val="24"/>
        </w:rPr>
        <w:t xml:space="preserve"> посещения на </w:t>
      </w:r>
      <w:r w:rsidR="00DC1943" w:rsidRPr="00826898">
        <w:rPr>
          <w:b/>
          <w:color w:val="auto"/>
          <w:szCs w:val="24"/>
        </w:rPr>
        <w:t xml:space="preserve">чужденци </w:t>
      </w:r>
      <w:r w:rsidR="00294D88" w:rsidRPr="00826898">
        <w:rPr>
          <w:b/>
          <w:color w:val="auto"/>
          <w:szCs w:val="24"/>
        </w:rPr>
        <w:t>в България</w:t>
      </w:r>
      <w:r w:rsidR="00F50389" w:rsidRPr="00826898">
        <w:rPr>
          <w:b/>
          <w:color w:val="auto"/>
          <w:szCs w:val="24"/>
        </w:rPr>
        <w:t xml:space="preserve"> </w:t>
      </w:r>
      <w:r w:rsidR="00DC6FC0">
        <w:rPr>
          <w:b/>
          <w:color w:val="auto"/>
          <w:szCs w:val="24"/>
        </w:rPr>
        <w:t>е</w:t>
      </w:r>
      <w:r w:rsidR="00390C3D" w:rsidRPr="00390C3D">
        <w:rPr>
          <w:b/>
          <w:color w:val="auto"/>
          <w:szCs w:val="24"/>
        </w:rPr>
        <w:t xml:space="preserve"> </w:t>
      </w:r>
      <w:r w:rsidR="00B807D0" w:rsidRPr="00B807D0">
        <w:rPr>
          <w:b/>
          <w:color w:val="auto"/>
          <w:szCs w:val="24"/>
        </w:rPr>
        <w:t>8</w:t>
      </w:r>
      <w:r w:rsidR="00195ED6">
        <w:rPr>
          <w:b/>
          <w:color w:val="auto"/>
          <w:szCs w:val="24"/>
        </w:rPr>
        <w:t> </w:t>
      </w:r>
      <w:r w:rsidR="00B807D0" w:rsidRPr="00B807D0">
        <w:rPr>
          <w:b/>
          <w:color w:val="auto"/>
          <w:szCs w:val="24"/>
        </w:rPr>
        <w:t>390</w:t>
      </w:r>
      <w:r w:rsidR="00195ED6">
        <w:rPr>
          <w:b/>
          <w:color w:val="auto"/>
          <w:szCs w:val="24"/>
        </w:rPr>
        <w:t> </w:t>
      </w:r>
      <w:r w:rsidR="00B807D0" w:rsidRPr="00B807D0">
        <w:rPr>
          <w:b/>
          <w:color w:val="auto"/>
          <w:szCs w:val="24"/>
        </w:rPr>
        <w:t>227</w:t>
      </w:r>
      <w:r w:rsidR="00294D88" w:rsidRPr="00826898">
        <w:rPr>
          <w:b/>
          <w:color w:val="auto"/>
          <w:szCs w:val="24"/>
        </w:rPr>
        <w:t>.</w:t>
      </w:r>
      <w:r w:rsidR="00294D88" w:rsidRPr="00826898">
        <w:rPr>
          <w:b/>
          <w:color w:val="auto"/>
          <w:szCs w:val="24"/>
          <w:lang w:val="ru-RU"/>
        </w:rPr>
        <w:t xml:space="preserve"> </w:t>
      </w:r>
      <w:r w:rsidR="00AB5C9D">
        <w:rPr>
          <w:b/>
          <w:bCs/>
          <w:color w:val="auto"/>
          <w:szCs w:val="24"/>
        </w:rPr>
        <w:t xml:space="preserve">Спадът </w:t>
      </w:r>
      <w:r w:rsidR="00132B9F" w:rsidRPr="00826898">
        <w:rPr>
          <w:color w:val="auto"/>
          <w:szCs w:val="24"/>
        </w:rPr>
        <w:t>спрямо</w:t>
      </w:r>
      <w:r w:rsidR="00AB5C9D">
        <w:rPr>
          <w:color w:val="auto"/>
          <w:szCs w:val="24"/>
        </w:rPr>
        <w:t xml:space="preserve"> </w:t>
      </w:r>
      <w:r w:rsidR="00390C3D">
        <w:rPr>
          <w:color w:val="auto"/>
          <w:szCs w:val="24"/>
        </w:rPr>
        <w:t>периода януари</w:t>
      </w:r>
      <w:r w:rsidR="00A9138F" w:rsidRPr="00826898">
        <w:rPr>
          <w:color w:val="auto"/>
          <w:szCs w:val="24"/>
        </w:rPr>
        <w:t xml:space="preserve"> </w:t>
      </w:r>
      <w:r w:rsidR="00A04B7F">
        <w:rPr>
          <w:color w:val="auto"/>
          <w:szCs w:val="24"/>
        </w:rPr>
        <w:t>–</w:t>
      </w:r>
      <w:r w:rsidR="003171E2" w:rsidRPr="00826898">
        <w:rPr>
          <w:color w:val="auto"/>
          <w:szCs w:val="24"/>
        </w:rPr>
        <w:t xml:space="preserve"> </w:t>
      </w:r>
      <w:r w:rsidR="00A04B7F">
        <w:rPr>
          <w:color w:val="auto"/>
          <w:szCs w:val="24"/>
        </w:rPr>
        <w:t xml:space="preserve">октомври </w:t>
      </w:r>
      <w:r w:rsidR="00390C3D">
        <w:rPr>
          <w:color w:val="auto"/>
          <w:szCs w:val="24"/>
        </w:rPr>
        <w:t>2018</w:t>
      </w:r>
      <w:r w:rsidR="00396FF1" w:rsidRPr="00826898">
        <w:rPr>
          <w:color w:val="auto"/>
          <w:szCs w:val="24"/>
        </w:rPr>
        <w:t xml:space="preserve"> г.</w:t>
      </w:r>
      <w:r w:rsidR="00AB5C9D">
        <w:rPr>
          <w:color w:val="auto"/>
          <w:szCs w:val="24"/>
        </w:rPr>
        <w:t xml:space="preserve"> </w:t>
      </w:r>
      <w:r w:rsidR="00396FF1" w:rsidRPr="00826898">
        <w:rPr>
          <w:b/>
          <w:bCs/>
          <w:color w:val="auto"/>
          <w:szCs w:val="24"/>
        </w:rPr>
        <w:t>е</w:t>
      </w:r>
      <w:r w:rsidR="00195ED6">
        <w:rPr>
          <w:b/>
          <w:bCs/>
          <w:color w:val="auto"/>
          <w:szCs w:val="24"/>
        </w:rPr>
        <w:t xml:space="preserve"> -</w:t>
      </w:r>
      <w:r w:rsidR="00B807D0" w:rsidRPr="00B807D0">
        <w:rPr>
          <w:b/>
          <w:bCs/>
          <w:color w:val="auto"/>
          <w:szCs w:val="24"/>
        </w:rPr>
        <w:t>0,4</w:t>
      </w:r>
      <w:r w:rsidR="00390C3D">
        <w:rPr>
          <w:b/>
          <w:bCs/>
          <w:color w:val="auto"/>
          <w:szCs w:val="24"/>
        </w:rPr>
        <w:t>%</w:t>
      </w:r>
      <w:r w:rsidR="004902A6" w:rsidRPr="00826898">
        <w:rPr>
          <w:b/>
          <w:color w:val="auto"/>
        </w:rPr>
        <w:t>.</w:t>
      </w:r>
    </w:p>
    <w:p w:rsidR="00294D88" w:rsidRPr="00EA4A5D" w:rsidRDefault="00294D88" w:rsidP="00A04B7F">
      <w:pPr>
        <w:pStyle w:val="Caption"/>
      </w:pPr>
      <w:r w:rsidRPr="00EA4A5D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1</w:t>
      </w:r>
      <w:r w:rsidR="00D13933">
        <w:rPr>
          <w:noProof/>
        </w:rPr>
        <w:fldChar w:fldCharType="end"/>
      </w:r>
      <w:r w:rsidRPr="00EA4A5D">
        <w:t xml:space="preserve">. </w:t>
      </w:r>
      <w:r w:rsidR="00C17EF9">
        <w:t>Т</w:t>
      </w:r>
      <w:r w:rsidRPr="00EA4A5D">
        <w:t>уристи</w:t>
      </w:r>
      <w:r w:rsidR="00FD7E5C">
        <w:t>чески посещения на чужденци</w:t>
      </w:r>
      <w:r w:rsidRPr="00EA4A5D">
        <w:t xml:space="preserve"> в България през</w:t>
      </w:r>
      <w:r w:rsidR="00975FF9">
        <w:t xml:space="preserve"> периода </w:t>
      </w:r>
      <w:r w:rsidR="00C0122F">
        <w:t>януари –</w:t>
      </w:r>
      <w:r w:rsidR="00195ED6">
        <w:t xml:space="preserve"> </w:t>
      </w:r>
      <w:r w:rsidR="00A04B7F">
        <w:t xml:space="preserve">октомври </w:t>
      </w:r>
      <w:r w:rsidRPr="00EA4A5D">
        <w:t>(брой)</w:t>
      </w:r>
    </w:p>
    <w:p w:rsidR="00294D88" w:rsidRDefault="0021776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noProof/>
          <w:lang w:eastAsia="bg-BG"/>
        </w:rPr>
      </w:pPr>
      <w:r w:rsidRPr="0085617C">
        <w:rPr>
          <w:noProof/>
          <w:lang w:eastAsia="bg-BG"/>
        </w:rPr>
        <w:drawing>
          <wp:inline distT="0" distB="0" distL="0" distR="0">
            <wp:extent cx="5556250" cy="1917700"/>
            <wp:effectExtent l="0" t="0" r="0" b="0"/>
            <wp:docPr id="7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4D88" w:rsidRPr="00E35903" w:rsidRDefault="00294D88" w:rsidP="00C8260E">
      <w:pPr>
        <w:jc w:val="right"/>
        <w:rPr>
          <w:rStyle w:val="Emphasis"/>
          <w:rFonts w:cs="Calibri"/>
        </w:rPr>
      </w:pPr>
      <w:r w:rsidRPr="00E35903">
        <w:rPr>
          <w:rStyle w:val="Emphasis"/>
          <w:rFonts w:cs="Calibri"/>
        </w:rPr>
        <w:t>Източник: НСИ</w:t>
      </w:r>
    </w:p>
    <w:p w:rsidR="00A450DE" w:rsidRDefault="00A450DE" w:rsidP="003B7FC6">
      <w:pPr>
        <w:jc w:val="both"/>
        <w:rPr>
          <w:b/>
          <w:color w:val="auto"/>
          <w:szCs w:val="24"/>
          <w:lang w:val="ru-RU"/>
        </w:rPr>
      </w:pPr>
    </w:p>
    <w:p w:rsidR="00294D88" w:rsidRPr="00826898" w:rsidRDefault="003171E2" w:rsidP="00195ED6">
      <w:pPr>
        <w:jc w:val="both"/>
        <w:rPr>
          <w:b/>
          <w:bCs/>
          <w:color w:val="auto"/>
          <w:szCs w:val="24"/>
        </w:rPr>
      </w:pPr>
      <w:r w:rsidRPr="00826898">
        <w:rPr>
          <w:b/>
          <w:color w:val="auto"/>
          <w:szCs w:val="24"/>
          <w:lang w:val="ru-RU"/>
        </w:rPr>
        <w:t>Увеличение</w:t>
      </w:r>
      <w:r w:rsidR="00531620" w:rsidRPr="00531620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color w:val="auto"/>
          <w:szCs w:val="24"/>
        </w:rPr>
        <w:t>има</w:t>
      </w:r>
      <w:r w:rsidR="00531620" w:rsidRPr="00531620">
        <w:rPr>
          <w:color w:val="auto"/>
          <w:szCs w:val="24"/>
          <w:lang w:val="ru-RU"/>
        </w:rPr>
        <w:t xml:space="preserve"> </w:t>
      </w:r>
      <w:r w:rsidR="00AB5C9D">
        <w:rPr>
          <w:color w:val="auto"/>
          <w:szCs w:val="24"/>
          <w:lang w:val="ru-RU"/>
        </w:rPr>
        <w:t>при</w:t>
      </w:r>
      <w:r w:rsidR="00531620" w:rsidRPr="00531620">
        <w:rPr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>посещенията</w:t>
      </w:r>
      <w:r w:rsidR="00294D88" w:rsidRPr="00826898">
        <w:rPr>
          <w:bCs/>
          <w:color w:val="auto"/>
          <w:szCs w:val="24"/>
          <w:lang w:val="ru-RU"/>
        </w:rPr>
        <w:t xml:space="preserve"> </w:t>
      </w:r>
      <w:r w:rsidRPr="00826898">
        <w:rPr>
          <w:bCs/>
          <w:color w:val="auto"/>
          <w:szCs w:val="24"/>
          <w:lang w:val="ru-RU"/>
        </w:rPr>
        <w:t>с</w:t>
      </w:r>
      <w:r w:rsidR="00294D88" w:rsidRPr="00826898">
        <w:rPr>
          <w:bCs/>
          <w:color w:val="auto"/>
          <w:szCs w:val="24"/>
          <w:lang w:val="ru-RU"/>
        </w:rPr>
        <w:t xml:space="preserve"> цел</w:t>
      </w:r>
      <w:r w:rsidR="00294D88" w:rsidRPr="00826898">
        <w:rPr>
          <w:b/>
          <w:bCs/>
          <w:color w:val="auto"/>
          <w:szCs w:val="24"/>
          <w:lang w:val="ru-RU"/>
        </w:rPr>
        <w:t xml:space="preserve"> </w:t>
      </w:r>
      <w:r w:rsidRPr="00826898">
        <w:rPr>
          <w:b/>
          <w:bCs/>
          <w:color w:val="auto"/>
          <w:szCs w:val="24"/>
        </w:rPr>
        <w:t>почивка</w:t>
      </w:r>
      <w:r w:rsidRPr="00826898">
        <w:rPr>
          <w:b/>
          <w:bCs/>
          <w:color w:val="auto"/>
          <w:szCs w:val="24"/>
          <w:lang w:val="ru-RU"/>
        </w:rPr>
        <w:t xml:space="preserve"> </w:t>
      </w:r>
      <w:r w:rsidR="00294D88" w:rsidRPr="00826898">
        <w:rPr>
          <w:b/>
          <w:bCs/>
          <w:color w:val="auto"/>
          <w:szCs w:val="24"/>
        </w:rPr>
        <w:t>и ваканция</w:t>
      </w:r>
      <w:r w:rsidR="00294D88" w:rsidRPr="00826898">
        <w:rPr>
          <w:bCs/>
          <w:color w:val="auto"/>
          <w:szCs w:val="24"/>
        </w:rPr>
        <w:t>,</w:t>
      </w:r>
      <w:r w:rsidR="00531620" w:rsidRPr="00531620">
        <w:rPr>
          <w:bCs/>
          <w:color w:val="auto"/>
          <w:szCs w:val="24"/>
          <w:lang w:val="ru-RU"/>
        </w:rPr>
        <w:t xml:space="preserve"> </w:t>
      </w:r>
      <w:r w:rsidR="00AB5C9D">
        <w:rPr>
          <w:bCs/>
          <w:color w:val="auto"/>
          <w:szCs w:val="24"/>
        </w:rPr>
        <w:t>като</w:t>
      </w:r>
      <w:r w:rsidR="00531620" w:rsidRPr="00531620">
        <w:rPr>
          <w:bCs/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>са реализирани</w:t>
      </w:r>
      <w:r w:rsidR="009D4D93" w:rsidRPr="00826898">
        <w:rPr>
          <w:bCs/>
          <w:color w:val="auto"/>
          <w:szCs w:val="24"/>
          <w:lang w:val="ru-RU"/>
        </w:rPr>
        <w:t xml:space="preserve"> </w:t>
      </w:r>
      <w:r w:rsidR="00B12B05" w:rsidRPr="00B12B05">
        <w:rPr>
          <w:b/>
          <w:color w:val="auto"/>
          <w:szCs w:val="24"/>
          <w:lang w:val="ru-RU"/>
        </w:rPr>
        <w:t>5</w:t>
      </w:r>
      <w:r w:rsidR="00195ED6">
        <w:rPr>
          <w:b/>
          <w:color w:val="auto"/>
          <w:szCs w:val="24"/>
          <w:lang w:val="ru-RU"/>
        </w:rPr>
        <w:t> </w:t>
      </w:r>
      <w:r w:rsidR="00B12B05" w:rsidRPr="00B12B05">
        <w:rPr>
          <w:b/>
          <w:color w:val="auto"/>
          <w:szCs w:val="24"/>
          <w:lang w:val="ru-RU"/>
        </w:rPr>
        <w:t>425</w:t>
      </w:r>
      <w:r w:rsidR="00195ED6">
        <w:rPr>
          <w:b/>
          <w:color w:val="auto"/>
          <w:szCs w:val="24"/>
          <w:lang w:val="ru-RU"/>
        </w:rPr>
        <w:t> </w:t>
      </w:r>
      <w:r w:rsidR="00B12B05" w:rsidRPr="00B12B05">
        <w:rPr>
          <w:b/>
          <w:color w:val="auto"/>
          <w:szCs w:val="24"/>
          <w:lang w:val="ru-RU"/>
        </w:rPr>
        <w:t>267</w:t>
      </w:r>
      <w:r w:rsidR="00195ED6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b/>
          <w:color w:val="auto"/>
          <w:szCs w:val="24"/>
        </w:rPr>
        <w:t>посещения</w:t>
      </w:r>
      <w:r w:rsidR="009D4D93" w:rsidRPr="00826898">
        <w:rPr>
          <w:bCs/>
          <w:color w:val="auto"/>
          <w:szCs w:val="24"/>
          <w:lang w:val="ru-RU"/>
        </w:rPr>
        <w:t xml:space="preserve"> </w:t>
      </w:r>
      <w:r w:rsidR="00294D88" w:rsidRPr="00826898">
        <w:rPr>
          <w:bCs/>
          <w:color w:val="auto"/>
          <w:szCs w:val="24"/>
        </w:rPr>
        <w:t xml:space="preserve">и </w:t>
      </w:r>
      <w:r w:rsidR="00294D88" w:rsidRPr="00826898">
        <w:rPr>
          <w:b/>
          <w:bCs/>
          <w:color w:val="auto"/>
          <w:szCs w:val="24"/>
        </w:rPr>
        <w:t xml:space="preserve">ръст </w:t>
      </w:r>
      <w:r w:rsidR="00294D88" w:rsidRPr="00826898">
        <w:rPr>
          <w:b/>
          <w:color w:val="auto"/>
          <w:szCs w:val="24"/>
          <w:lang w:val="ru-RU"/>
        </w:rPr>
        <w:t>от</w:t>
      </w:r>
      <w:r w:rsidR="00FD209F" w:rsidRPr="00826898">
        <w:rPr>
          <w:b/>
          <w:color w:val="auto"/>
          <w:szCs w:val="24"/>
          <w:lang w:val="ru-RU"/>
        </w:rPr>
        <w:t xml:space="preserve"> </w:t>
      </w:r>
      <w:r w:rsidR="007B52B0" w:rsidRPr="007B52B0">
        <w:rPr>
          <w:b/>
          <w:color w:val="auto"/>
          <w:szCs w:val="24"/>
          <w:lang w:val="ru-RU"/>
        </w:rPr>
        <w:t>0,4</w:t>
      </w:r>
      <w:r w:rsidR="00294D88" w:rsidRPr="00826898">
        <w:rPr>
          <w:b/>
          <w:color w:val="auto"/>
          <w:szCs w:val="24"/>
          <w:lang w:val="ru-RU"/>
        </w:rPr>
        <w:t xml:space="preserve">%. </w:t>
      </w:r>
      <w:r w:rsidR="00294D88" w:rsidRPr="00826898">
        <w:rPr>
          <w:color w:val="auto"/>
          <w:szCs w:val="24"/>
          <w:lang w:val="ru-RU"/>
        </w:rPr>
        <w:t>Посещенията</w:t>
      </w:r>
      <w:r w:rsidR="00294D88" w:rsidRPr="00826898">
        <w:rPr>
          <w:b/>
          <w:color w:val="auto"/>
          <w:szCs w:val="24"/>
          <w:lang w:val="ru-RU"/>
        </w:rPr>
        <w:t xml:space="preserve"> с цел </w:t>
      </w:r>
      <w:r w:rsidR="00294D88" w:rsidRPr="00826898">
        <w:rPr>
          <w:b/>
          <w:color w:val="auto"/>
          <w:szCs w:val="24"/>
        </w:rPr>
        <w:t>гостуване</w:t>
      </w:r>
      <w:r w:rsidR="009D4D93" w:rsidRPr="00826898">
        <w:rPr>
          <w:b/>
          <w:color w:val="auto"/>
          <w:szCs w:val="24"/>
          <w:lang w:val="ru-RU"/>
        </w:rPr>
        <w:t xml:space="preserve"> </w:t>
      </w:r>
      <w:r w:rsidR="00294D88" w:rsidRPr="00826898">
        <w:rPr>
          <w:b/>
          <w:color w:val="auto"/>
          <w:szCs w:val="24"/>
        </w:rPr>
        <w:t>са</w:t>
      </w:r>
      <w:r w:rsidR="007E068E" w:rsidRPr="007E068E">
        <w:rPr>
          <w:b/>
          <w:color w:val="auto"/>
          <w:szCs w:val="24"/>
          <w:lang w:val="ru-RU"/>
        </w:rPr>
        <w:t xml:space="preserve"> </w:t>
      </w:r>
      <w:r w:rsidR="00B12B05" w:rsidRPr="00B12B05">
        <w:rPr>
          <w:b/>
          <w:color w:val="auto"/>
          <w:szCs w:val="24"/>
        </w:rPr>
        <w:t>538</w:t>
      </w:r>
      <w:r w:rsidR="00195ED6">
        <w:rPr>
          <w:b/>
          <w:color w:val="auto"/>
          <w:szCs w:val="24"/>
        </w:rPr>
        <w:t> </w:t>
      </w:r>
      <w:r w:rsidR="00B12B05" w:rsidRPr="00B12B05">
        <w:rPr>
          <w:b/>
          <w:color w:val="auto"/>
          <w:szCs w:val="24"/>
        </w:rPr>
        <w:t>069</w:t>
      </w:r>
      <w:r w:rsidR="00294D88" w:rsidRPr="00826898">
        <w:rPr>
          <w:bCs/>
          <w:color w:val="auto"/>
        </w:rPr>
        <w:t xml:space="preserve">, </w:t>
      </w:r>
      <w:r w:rsidR="00B266BF">
        <w:rPr>
          <w:b/>
          <w:bCs/>
          <w:color w:val="auto"/>
          <w:szCs w:val="24"/>
        </w:rPr>
        <w:t xml:space="preserve">като те намаляват </w:t>
      </w:r>
      <w:r w:rsidRPr="00826898">
        <w:rPr>
          <w:b/>
          <w:bCs/>
          <w:color w:val="auto"/>
          <w:szCs w:val="24"/>
        </w:rPr>
        <w:t>с</w:t>
      </w:r>
      <w:r w:rsidR="007E068E" w:rsidRPr="007E068E">
        <w:rPr>
          <w:b/>
          <w:bCs/>
          <w:color w:val="auto"/>
          <w:szCs w:val="24"/>
          <w:lang w:val="ru-RU"/>
        </w:rPr>
        <w:t xml:space="preserve"> </w:t>
      </w:r>
      <w:r w:rsidR="00195ED6">
        <w:rPr>
          <w:b/>
          <w:bCs/>
          <w:color w:val="auto"/>
          <w:szCs w:val="24"/>
          <w:lang w:val="ru-RU"/>
        </w:rPr>
        <w:t>-</w:t>
      </w:r>
      <w:r w:rsidR="007B52B0">
        <w:rPr>
          <w:b/>
          <w:bCs/>
          <w:color w:val="auto"/>
          <w:szCs w:val="24"/>
          <w:lang w:val="ru-RU"/>
        </w:rPr>
        <w:t>9</w:t>
      </w:r>
      <w:r w:rsidR="00294D88" w:rsidRPr="00826898">
        <w:rPr>
          <w:b/>
          <w:bCs/>
          <w:color w:val="auto"/>
          <w:szCs w:val="24"/>
          <w:lang w:val="ru-RU"/>
        </w:rPr>
        <w:t xml:space="preserve">%. </w:t>
      </w:r>
      <w:r w:rsidR="00294D88" w:rsidRPr="00826898">
        <w:rPr>
          <w:color w:val="auto"/>
          <w:szCs w:val="24"/>
          <w:lang w:val="ru-RU"/>
        </w:rPr>
        <w:t xml:space="preserve">Посещенията с </w:t>
      </w:r>
      <w:r w:rsidRPr="00826898">
        <w:rPr>
          <w:b/>
          <w:color w:val="auto"/>
          <w:szCs w:val="24"/>
          <w:lang w:val="ru-RU"/>
        </w:rPr>
        <w:t xml:space="preserve">цел </w:t>
      </w:r>
      <w:r w:rsidR="00294D88" w:rsidRPr="00826898">
        <w:rPr>
          <w:b/>
          <w:color w:val="auto"/>
          <w:szCs w:val="24"/>
          <w:lang w:val="ru-RU"/>
        </w:rPr>
        <w:t>бизнес</w:t>
      </w:r>
      <w:r w:rsidR="00C17EF9" w:rsidRPr="00826898">
        <w:rPr>
          <w:b/>
          <w:color w:val="auto"/>
          <w:szCs w:val="24"/>
          <w:lang w:val="ru-RU"/>
        </w:rPr>
        <w:t xml:space="preserve"> туризъм</w:t>
      </w:r>
      <w:r w:rsidR="00294D88" w:rsidRPr="00826898">
        <w:rPr>
          <w:b/>
          <w:color w:val="auto"/>
          <w:szCs w:val="24"/>
          <w:lang w:val="ru-RU"/>
        </w:rPr>
        <w:t xml:space="preserve"> са</w:t>
      </w:r>
      <w:r w:rsidR="00AB5C9D">
        <w:rPr>
          <w:b/>
          <w:color w:val="auto"/>
          <w:szCs w:val="24"/>
          <w:lang w:val="ru-RU"/>
        </w:rPr>
        <w:t xml:space="preserve"> </w:t>
      </w:r>
      <w:r w:rsidR="00B12B05" w:rsidRPr="00B12B05">
        <w:rPr>
          <w:b/>
          <w:color w:val="auto"/>
          <w:szCs w:val="24"/>
          <w:lang w:val="ru-RU"/>
        </w:rPr>
        <w:t>1</w:t>
      </w:r>
      <w:r w:rsidR="00195ED6">
        <w:rPr>
          <w:b/>
          <w:color w:val="auto"/>
          <w:szCs w:val="24"/>
          <w:lang w:val="ru-RU"/>
        </w:rPr>
        <w:t> </w:t>
      </w:r>
      <w:r w:rsidR="00B12B05" w:rsidRPr="00B12B05">
        <w:rPr>
          <w:b/>
          <w:color w:val="auto"/>
          <w:szCs w:val="24"/>
          <w:lang w:val="ru-RU"/>
        </w:rPr>
        <w:t>517</w:t>
      </w:r>
      <w:r w:rsidR="00195ED6">
        <w:rPr>
          <w:b/>
          <w:color w:val="auto"/>
          <w:szCs w:val="24"/>
          <w:lang w:val="ru-RU"/>
        </w:rPr>
        <w:t> </w:t>
      </w:r>
      <w:r w:rsidR="00B12B05" w:rsidRPr="00B12B05">
        <w:rPr>
          <w:b/>
          <w:color w:val="auto"/>
          <w:szCs w:val="24"/>
          <w:lang w:val="ru-RU"/>
        </w:rPr>
        <w:t>560</w:t>
      </w:r>
      <w:r w:rsidR="00294D88" w:rsidRPr="00826898">
        <w:rPr>
          <w:b/>
          <w:bCs/>
          <w:color w:val="auto"/>
          <w:szCs w:val="24"/>
        </w:rPr>
        <w:t xml:space="preserve">, </w:t>
      </w:r>
      <w:r w:rsidR="00294D88" w:rsidRPr="00826898">
        <w:rPr>
          <w:bCs/>
          <w:color w:val="auto"/>
          <w:szCs w:val="24"/>
        </w:rPr>
        <w:t>като те</w:t>
      </w:r>
      <w:r w:rsidR="00294D88" w:rsidRPr="00826898">
        <w:rPr>
          <w:b/>
          <w:bCs/>
          <w:color w:val="auto"/>
          <w:szCs w:val="24"/>
        </w:rPr>
        <w:t xml:space="preserve"> </w:t>
      </w:r>
      <w:r w:rsidR="00160BFB" w:rsidRPr="00826898">
        <w:rPr>
          <w:b/>
          <w:bCs/>
          <w:color w:val="auto"/>
          <w:szCs w:val="24"/>
          <w:lang w:val="ru-RU"/>
        </w:rPr>
        <w:t xml:space="preserve">се </w:t>
      </w:r>
      <w:r w:rsidR="0030622A" w:rsidRPr="00826898">
        <w:rPr>
          <w:b/>
          <w:bCs/>
          <w:color w:val="auto"/>
          <w:szCs w:val="24"/>
        </w:rPr>
        <w:t xml:space="preserve">увеличават </w:t>
      </w:r>
      <w:r w:rsidR="00294D88" w:rsidRPr="00826898">
        <w:rPr>
          <w:b/>
          <w:bCs/>
          <w:color w:val="auto"/>
          <w:szCs w:val="24"/>
          <w:lang w:val="ru-RU"/>
        </w:rPr>
        <w:t>с</w:t>
      </w:r>
      <w:r w:rsidR="00FD209F" w:rsidRPr="00826898">
        <w:rPr>
          <w:b/>
          <w:bCs/>
          <w:color w:val="auto"/>
          <w:szCs w:val="24"/>
          <w:lang w:val="ru-RU"/>
        </w:rPr>
        <w:t xml:space="preserve"> </w:t>
      </w:r>
      <w:r w:rsidR="007B52B0" w:rsidRPr="007B52B0">
        <w:rPr>
          <w:b/>
          <w:bCs/>
          <w:color w:val="auto"/>
          <w:szCs w:val="24"/>
          <w:lang w:val="ru-RU"/>
        </w:rPr>
        <w:t>1,5</w:t>
      </w:r>
      <w:r w:rsidR="00294D88" w:rsidRPr="00826898">
        <w:rPr>
          <w:b/>
          <w:bCs/>
          <w:color w:val="auto"/>
          <w:szCs w:val="24"/>
          <w:lang w:val="ru-RU"/>
        </w:rPr>
        <w:t>%</w:t>
      </w:r>
      <w:r w:rsidR="00294D88" w:rsidRPr="00826898">
        <w:rPr>
          <w:b/>
          <w:bCs/>
          <w:color w:val="auto"/>
          <w:szCs w:val="24"/>
        </w:rPr>
        <w:t xml:space="preserve">. </w:t>
      </w:r>
      <w:r w:rsidR="00294D88" w:rsidRPr="00826898">
        <w:rPr>
          <w:bCs/>
          <w:color w:val="auto"/>
          <w:szCs w:val="24"/>
        </w:rPr>
        <w:t>Посещенията</w:t>
      </w:r>
      <w:r w:rsidR="00294D88" w:rsidRPr="00826898">
        <w:rPr>
          <w:b/>
          <w:bCs/>
          <w:color w:val="auto"/>
          <w:szCs w:val="24"/>
        </w:rPr>
        <w:t xml:space="preserve"> с други туристически цели са</w:t>
      </w:r>
      <w:r w:rsidR="007E068E" w:rsidRPr="007E068E">
        <w:rPr>
          <w:b/>
          <w:bCs/>
          <w:color w:val="auto"/>
          <w:szCs w:val="24"/>
        </w:rPr>
        <w:t xml:space="preserve"> </w:t>
      </w:r>
      <w:r w:rsidR="007B52B0" w:rsidRPr="007B52B0">
        <w:rPr>
          <w:b/>
          <w:bCs/>
          <w:color w:val="auto"/>
          <w:szCs w:val="24"/>
        </w:rPr>
        <w:t>909</w:t>
      </w:r>
      <w:r w:rsidR="00195ED6">
        <w:rPr>
          <w:b/>
          <w:bCs/>
          <w:color w:val="auto"/>
          <w:szCs w:val="24"/>
        </w:rPr>
        <w:t> </w:t>
      </w:r>
      <w:r w:rsidR="007B52B0" w:rsidRPr="007B52B0">
        <w:rPr>
          <w:b/>
          <w:bCs/>
          <w:color w:val="auto"/>
          <w:szCs w:val="24"/>
        </w:rPr>
        <w:t xml:space="preserve">331 </w:t>
      </w:r>
      <w:r w:rsidR="00D24743" w:rsidRPr="00826898">
        <w:rPr>
          <w:b/>
          <w:bCs/>
          <w:color w:val="auto"/>
          <w:szCs w:val="24"/>
        </w:rPr>
        <w:t>(при тях се наблюдава спад</w:t>
      </w:r>
      <w:r w:rsidR="009D4D93" w:rsidRPr="00826898">
        <w:rPr>
          <w:b/>
          <w:bCs/>
          <w:color w:val="auto"/>
          <w:szCs w:val="24"/>
        </w:rPr>
        <w:t>)</w:t>
      </w:r>
      <w:r w:rsidR="00294D88" w:rsidRPr="00826898">
        <w:rPr>
          <w:b/>
          <w:bCs/>
          <w:color w:val="auto"/>
          <w:szCs w:val="24"/>
          <w:lang w:val="ru-RU"/>
        </w:rPr>
        <w:t>.</w:t>
      </w:r>
      <w:r w:rsidR="00195ED6">
        <w:rPr>
          <w:b/>
          <w:bCs/>
          <w:color w:val="auto"/>
          <w:szCs w:val="24"/>
          <w:lang w:val="ru-RU"/>
        </w:rPr>
        <w:t xml:space="preserve"> </w:t>
      </w:r>
      <w:r w:rsidR="00294D88" w:rsidRPr="00826898">
        <w:rPr>
          <w:b/>
          <w:bCs/>
          <w:color w:val="auto"/>
          <w:szCs w:val="24"/>
        </w:rPr>
        <w:t>Посещенията с цел почивка и ваканция формират</w:t>
      </w:r>
      <w:r w:rsidR="008935BB" w:rsidRPr="00826898">
        <w:rPr>
          <w:b/>
          <w:bCs/>
          <w:color w:val="auto"/>
          <w:szCs w:val="24"/>
        </w:rPr>
        <w:t xml:space="preserve"> </w:t>
      </w:r>
      <w:r w:rsidR="007B52B0" w:rsidRPr="007B52B0">
        <w:rPr>
          <w:b/>
          <w:bCs/>
          <w:color w:val="auto"/>
          <w:szCs w:val="24"/>
          <w:lang w:val="ru-RU"/>
        </w:rPr>
        <w:t>64,7</w:t>
      </w:r>
      <w:r w:rsidR="00294D88" w:rsidRPr="00826898">
        <w:rPr>
          <w:b/>
          <w:bCs/>
          <w:color w:val="auto"/>
          <w:szCs w:val="24"/>
        </w:rPr>
        <w:t>% от всички туристически посещения.</w:t>
      </w:r>
    </w:p>
    <w:p w:rsidR="00294D88" w:rsidRPr="009B2C7E" w:rsidRDefault="00294D88" w:rsidP="00FD10DB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2</w:t>
      </w:r>
      <w:r w:rsidR="00D13933">
        <w:rPr>
          <w:noProof/>
        </w:rPr>
        <w:fldChar w:fldCharType="end"/>
      </w:r>
      <w:r w:rsidRPr="009B2C7E">
        <w:t xml:space="preserve">. Структура на </w:t>
      </w:r>
      <w:r w:rsidR="00C17EF9">
        <w:t xml:space="preserve">туристическите посещения на чужденци </w:t>
      </w:r>
      <w:r w:rsidRPr="009B2C7E">
        <w:t>по цели през</w:t>
      </w:r>
      <w:r w:rsidR="00975FF9">
        <w:t xml:space="preserve"> периода </w:t>
      </w:r>
      <w:r w:rsidR="00067075">
        <w:t>януари</w:t>
      </w:r>
      <w:r w:rsidR="00AB5C9D">
        <w:t>–</w:t>
      </w:r>
      <w:r w:rsidR="00A04B7F">
        <w:t xml:space="preserve">октомври </w:t>
      </w:r>
      <w:r w:rsidR="00067075">
        <w:t>2019</w:t>
      </w:r>
      <w:r w:rsidRPr="009B2C7E">
        <w:t xml:space="preserve"> г.</w:t>
      </w:r>
      <w:r w:rsidRPr="009B5121">
        <w:rPr>
          <w:lang w:val="ru-RU"/>
        </w:rPr>
        <w:t xml:space="preserve"> </w:t>
      </w:r>
      <w:r w:rsidRPr="009B2C7E">
        <w:t>в %</w:t>
      </w:r>
    </w:p>
    <w:p w:rsidR="00294D88" w:rsidRPr="00A134BA" w:rsidRDefault="0021776A" w:rsidP="00C8260E">
      <w:pPr>
        <w:pStyle w:val="Header"/>
        <w:tabs>
          <w:tab w:val="clear" w:pos="4536"/>
          <w:tab w:val="clear" w:pos="9072"/>
        </w:tabs>
        <w:spacing w:after="120" w:line="264" w:lineRule="auto"/>
        <w:rPr>
          <w:rStyle w:val="Emphasis"/>
          <w:rFonts w:cs="Calibri"/>
          <w:noProof/>
          <w:lang w:val="en-US" w:eastAsia="bg-BG"/>
        </w:rPr>
      </w:pPr>
      <w:r w:rsidRPr="0085617C">
        <w:rPr>
          <w:noProof/>
          <w:lang w:eastAsia="bg-BG"/>
        </w:rPr>
        <w:drawing>
          <wp:inline distT="0" distB="0" distL="0" distR="0">
            <wp:extent cx="3727450" cy="210820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4D88" w:rsidRDefault="00294D88" w:rsidP="00C8260E">
      <w:pPr>
        <w:ind w:right="2976"/>
        <w:jc w:val="right"/>
        <w:rPr>
          <w:rStyle w:val="Emphasis"/>
          <w:rFonts w:cs="Calibri"/>
          <w:i w:val="0"/>
        </w:rPr>
      </w:pPr>
      <w:r w:rsidRPr="00E35903">
        <w:rPr>
          <w:rStyle w:val="Emphasis"/>
          <w:rFonts w:cs="Calibri"/>
        </w:rPr>
        <w:t>Източник: НСИ</w:t>
      </w:r>
    </w:p>
    <w:p w:rsidR="00505D15" w:rsidRDefault="00505D15" w:rsidP="00C8260E">
      <w:pPr>
        <w:ind w:right="2976"/>
        <w:jc w:val="right"/>
        <w:rPr>
          <w:rStyle w:val="Emphasis"/>
          <w:rFonts w:cs="Calibri"/>
          <w:i w:val="0"/>
        </w:rPr>
      </w:pPr>
    </w:p>
    <w:p w:rsidR="00505D15" w:rsidRPr="00505D15" w:rsidRDefault="00505D15" w:rsidP="00C8260E">
      <w:pPr>
        <w:ind w:right="2976"/>
        <w:jc w:val="right"/>
        <w:rPr>
          <w:rStyle w:val="Emphasis"/>
          <w:rFonts w:cs="Calibri"/>
          <w:i w:val="0"/>
        </w:rPr>
      </w:pPr>
    </w:p>
    <w:p w:rsidR="00294D88" w:rsidRPr="009B2C7E" w:rsidRDefault="00195ED6" w:rsidP="00A04B7F">
      <w:pPr>
        <w:pStyle w:val="Caption"/>
      </w:pPr>
      <w:r>
        <w:t xml:space="preserve">  </w:t>
      </w:r>
      <w:r w:rsidR="00294D88" w:rsidRPr="009B2C7E"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1</w:t>
      </w:r>
      <w:r w:rsidR="00D13933">
        <w:rPr>
          <w:noProof/>
        </w:rPr>
        <w:fldChar w:fldCharType="end"/>
      </w:r>
      <w:r w:rsidR="00294D88" w:rsidRPr="009B2C7E">
        <w:t xml:space="preserve">. </w:t>
      </w:r>
      <w:r w:rsidR="00C17EF9">
        <w:t>Туристически посещения на чужденци</w:t>
      </w:r>
      <w:r w:rsidR="00975FF9">
        <w:t xml:space="preserve"> </w:t>
      </w:r>
      <w:r w:rsidR="00D645F3">
        <w:rPr>
          <w:szCs w:val="20"/>
        </w:rPr>
        <w:t>януари</w:t>
      </w:r>
      <w:r w:rsidR="00975FF9" w:rsidRPr="009D4D93">
        <w:rPr>
          <w:szCs w:val="20"/>
        </w:rPr>
        <w:t xml:space="preserve"> </w:t>
      </w:r>
      <w:r w:rsidR="00D645F3">
        <w:rPr>
          <w:szCs w:val="20"/>
        </w:rPr>
        <w:t>–</w:t>
      </w:r>
      <w:r w:rsidR="00C17EF9" w:rsidRPr="009D4D93">
        <w:rPr>
          <w:szCs w:val="20"/>
        </w:rPr>
        <w:t xml:space="preserve"> </w:t>
      </w:r>
      <w:r w:rsidR="00A04B7F">
        <w:rPr>
          <w:szCs w:val="20"/>
        </w:rPr>
        <w:t xml:space="preserve">октомври </w:t>
      </w:r>
      <w:r w:rsidR="00D645F3">
        <w:t>2019</w:t>
      </w:r>
      <w:r w:rsidR="00FD7E5C">
        <w:t xml:space="preserve"> г.</w:t>
      </w:r>
      <w:r w:rsidR="00294D88" w:rsidRPr="009B2C7E">
        <w:t>/</w:t>
      </w:r>
      <w:r w:rsidR="00D645F3">
        <w:t>януари</w:t>
      </w:r>
      <w:r w:rsidR="00975FF9">
        <w:t xml:space="preserve"> </w:t>
      </w:r>
      <w:r w:rsidR="00FD10DB">
        <w:t>–</w:t>
      </w:r>
      <w:r w:rsidR="00A04B7F">
        <w:t xml:space="preserve">октомври </w:t>
      </w:r>
      <w:r w:rsidR="00D645F3">
        <w:t>2018</w:t>
      </w:r>
      <w:r w:rsidR="00294D88" w:rsidRPr="009B2C7E">
        <w:t xml:space="preserve"> г.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84"/>
        <w:gridCol w:w="4533"/>
        <w:gridCol w:w="1315"/>
        <w:gridCol w:w="1608"/>
        <w:gridCol w:w="1315"/>
      </w:tblGrid>
      <w:tr w:rsidR="00294D88" w:rsidRPr="00AB33F1" w:rsidTr="00F01195">
        <w:trPr>
          <w:trHeight w:val="18"/>
          <w:tblHeader/>
        </w:trPr>
        <w:tc>
          <w:tcPr>
            <w:tcW w:w="5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6D73EB" w:rsidRDefault="00294D88" w:rsidP="00AB33F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5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Брой 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(брой) 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Промяна </w:t>
            </w:r>
          </w:p>
          <w:p w:rsidR="00294D88" w:rsidRPr="00AB33F1" w:rsidRDefault="00294D88" w:rsidP="00AB33F1">
            <w:pPr>
              <w:jc w:val="right"/>
              <w:rPr>
                <w:b/>
                <w:bCs/>
                <w:sz w:val="20"/>
                <w:szCs w:val="20"/>
              </w:rPr>
            </w:pPr>
            <w:r w:rsidRPr="00AB33F1">
              <w:rPr>
                <w:b/>
                <w:bCs/>
                <w:sz w:val="20"/>
                <w:szCs w:val="20"/>
              </w:rPr>
              <w:t xml:space="preserve">(%) </w:t>
            </w:r>
          </w:p>
        </w:tc>
      </w:tr>
      <w:tr w:rsidR="00294D88" w:rsidRPr="00826898" w:rsidTr="00DE2A32">
        <w:trPr>
          <w:trHeight w:val="18"/>
        </w:trPr>
        <w:tc>
          <w:tcPr>
            <w:tcW w:w="5117" w:type="dxa"/>
            <w:gridSpan w:val="2"/>
            <w:shd w:val="clear" w:color="auto" w:fill="146834"/>
          </w:tcPr>
          <w:p w:rsidR="00294D88" w:rsidRPr="00F95F86" w:rsidRDefault="00294D88" w:rsidP="001B4EE4">
            <w:pPr>
              <w:rPr>
                <w:b/>
                <w:color w:val="FFFFFF"/>
                <w:szCs w:val="24"/>
              </w:rPr>
            </w:pPr>
            <w:r w:rsidRPr="00F95F86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315" w:type="dxa"/>
            <w:shd w:val="clear" w:color="auto" w:fill="006600"/>
          </w:tcPr>
          <w:p w:rsidR="00294D88" w:rsidRPr="00826898" w:rsidRDefault="00F01195" w:rsidP="006055BD">
            <w:pPr>
              <w:jc w:val="right"/>
              <w:rPr>
                <w:b/>
                <w:color w:val="auto"/>
                <w:szCs w:val="24"/>
              </w:rPr>
            </w:pPr>
            <w:r w:rsidRPr="00F01195">
              <w:rPr>
                <w:b/>
                <w:color w:val="auto"/>
                <w:szCs w:val="24"/>
              </w:rPr>
              <w:t>8 390 227</w:t>
            </w:r>
          </w:p>
        </w:tc>
        <w:tc>
          <w:tcPr>
            <w:tcW w:w="1608" w:type="dxa"/>
            <w:shd w:val="clear" w:color="auto" w:fill="006600"/>
          </w:tcPr>
          <w:p w:rsidR="00294D88" w:rsidRPr="00826898" w:rsidRDefault="00F01195" w:rsidP="00210D61">
            <w:pPr>
              <w:jc w:val="right"/>
              <w:rPr>
                <w:b/>
                <w:color w:val="auto"/>
                <w:szCs w:val="24"/>
              </w:rPr>
            </w:pPr>
            <w:r w:rsidRPr="00F01195">
              <w:rPr>
                <w:b/>
                <w:color w:val="auto"/>
                <w:szCs w:val="24"/>
              </w:rPr>
              <w:t>-33 088</w:t>
            </w:r>
          </w:p>
        </w:tc>
        <w:tc>
          <w:tcPr>
            <w:tcW w:w="1315" w:type="dxa"/>
            <w:shd w:val="clear" w:color="auto" w:fill="006600"/>
          </w:tcPr>
          <w:p w:rsidR="00294D88" w:rsidRPr="00826898" w:rsidRDefault="00F01195" w:rsidP="009B2C7E">
            <w:pPr>
              <w:jc w:val="right"/>
              <w:rPr>
                <w:b/>
                <w:color w:val="auto"/>
                <w:szCs w:val="24"/>
                <w:lang w:val="en-US"/>
              </w:rPr>
            </w:pPr>
            <w:r w:rsidRPr="00F01195">
              <w:rPr>
                <w:b/>
                <w:color w:val="auto"/>
                <w:szCs w:val="24"/>
                <w:lang w:val="en-US"/>
              </w:rPr>
              <w:t>-0,4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1 114 825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-103 554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988 064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56 170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729 832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-92 417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-11,2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541 408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1 876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53726E" w:rsidP="00F01195">
            <w:pPr>
              <w:rPr>
                <w:sz w:val="22"/>
              </w:rPr>
            </w:pPr>
            <w:r>
              <w:rPr>
                <w:sz w:val="22"/>
              </w:rPr>
              <w:t xml:space="preserve">СЕВЕРНА </w:t>
            </w:r>
            <w:r w:rsidR="00F01195">
              <w:rPr>
                <w:sz w:val="22"/>
              </w:rPr>
              <w:t>МАКЕДОНИЯ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469 627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-7 033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445 776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87 203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24,3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438 618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72 569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434 434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-61 584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-12,4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404 872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-6 359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 xml:space="preserve">СЪРБИЯ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350 057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-9 439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-2,6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243 178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23 841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10,9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226 826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-1 392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-0,6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195 442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183 218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-15 732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-7,9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137 411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15 211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134 614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-3 418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127 655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8 737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117 158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6 188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19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96 439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7 634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8,6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83 203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17 565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26,8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81 148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-1 211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73 163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-4 467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-5,8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72 725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-5 363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-6,9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44 419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-3 772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42 026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-16 529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-28,2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39 871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9 094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35 569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-12 488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-26,0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34 850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5 428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29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31 120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-7 339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-19,1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29 908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-5 983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-16,7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29 373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-1 327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28 392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3 492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14,0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26 761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4 289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25 910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6 108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24 616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20 734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-1 502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19 526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1 413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17 500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-99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-0,6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39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16 775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1 957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13,2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АВСТРАЛИЯ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15 302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41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ИРАН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14 521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-2 542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-14,9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42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ГРУЗИЯ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13 925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43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13 866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-3 991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-22,3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lastRenderedPageBreak/>
              <w:t xml:space="preserve">44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ФИЛИПИНИТЕ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11 346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-61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-0,5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45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ИНДИЯ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11 231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-1 436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-11,3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46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10 295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47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РЕПУБЛИКА КОРЕЯ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9 586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-1 093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-10,2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48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КАЗАХСТАН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8 703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-155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-1,7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49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6 204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  <w:tr w:rsidR="00F01195" w:rsidRPr="00826898" w:rsidTr="00F01195">
        <w:trPr>
          <w:trHeight w:val="18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195" w:rsidRPr="00AB33F1" w:rsidRDefault="00F01195" w:rsidP="00F01195">
            <w:pPr>
              <w:rPr>
                <w:sz w:val="18"/>
                <w:szCs w:val="18"/>
              </w:rPr>
            </w:pPr>
            <w:r w:rsidRPr="00AB33F1">
              <w:rPr>
                <w:sz w:val="18"/>
                <w:szCs w:val="18"/>
              </w:rPr>
              <w:t xml:space="preserve">50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rPr>
                <w:sz w:val="22"/>
              </w:rPr>
            </w:pPr>
            <w:r>
              <w:rPr>
                <w:sz w:val="22"/>
              </w:rPr>
              <w:t>БРАЗИЛИЯ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6 046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-259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195" w:rsidRDefault="00F01195" w:rsidP="00F01195">
            <w:pPr>
              <w:jc w:val="right"/>
              <w:rPr>
                <w:sz w:val="22"/>
              </w:rPr>
            </w:pPr>
            <w:r>
              <w:rPr>
                <w:sz w:val="22"/>
              </w:rPr>
              <w:t>-4,1</w:t>
            </w:r>
          </w:p>
        </w:tc>
      </w:tr>
    </w:tbl>
    <w:p w:rsidR="00294D88" w:rsidRDefault="00294D88" w:rsidP="00E35903">
      <w:pPr>
        <w:pStyle w:val="Caption"/>
      </w:pPr>
    </w:p>
    <w:p w:rsidR="00294D88" w:rsidRDefault="00294D88" w:rsidP="00E35903">
      <w:pPr>
        <w:pStyle w:val="Caption"/>
      </w:pPr>
    </w:p>
    <w:p w:rsidR="00294D88" w:rsidRPr="009B2C7E" w:rsidRDefault="00294D88" w:rsidP="00C17EF9">
      <w:pPr>
        <w:pStyle w:val="Caption"/>
      </w:pPr>
      <w:r w:rsidRPr="009B2C7E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3</w:t>
      </w:r>
      <w:r w:rsidR="00D13933">
        <w:rPr>
          <w:noProof/>
        </w:rPr>
        <w:fldChar w:fldCharType="end"/>
      </w:r>
      <w:r w:rsidRPr="009B2C7E">
        <w:t>.</w:t>
      </w:r>
      <w:r w:rsidR="003171E2" w:rsidRPr="003171E2">
        <w:t xml:space="preserve"> </w:t>
      </w:r>
      <w:r w:rsidR="00C17EF9">
        <w:t>Тур</w:t>
      </w:r>
      <w:r w:rsidR="003171E2">
        <w:t>истически посещения на чужденци</w:t>
      </w:r>
      <w:r w:rsidRPr="009B2C7E">
        <w:t>, пазари топ 10 (брой)</w:t>
      </w:r>
    </w:p>
    <w:p w:rsidR="00AB5C9D" w:rsidRDefault="0021776A" w:rsidP="00C8260E">
      <w:r w:rsidRPr="0085617C">
        <w:rPr>
          <w:noProof/>
          <w:lang w:eastAsia="bg-BG"/>
        </w:rPr>
        <w:drawing>
          <wp:inline distT="0" distB="0" distL="0" distR="0">
            <wp:extent cx="5873750" cy="4210050"/>
            <wp:effectExtent l="0" t="0" r="12700" b="0"/>
            <wp:docPr id="5" name="Object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94D88" w:rsidRDefault="00294D88" w:rsidP="00C8260E">
      <w:pPr>
        <w:jc w:val="right"/>
        <w:rPr>
          <w:rStyle w:val="Emphasis"/>
          <w:rFonts w:cs="Calibri"/>
        </w:rPr>
      </w:pPr>
    </w:p>
    <w:p w:rsidR="00195ED6" w:rsidRDefault="00195ED6" w:rsidP="00C8260E">
      <w:pPr>
        <w:jc w:val="right"/>
        <w:rPr>
          <w:rStyle w:val="Emphasis"/>
          <w:rFonts w:cs="Calibri"/>
        </w:rPr>
      </w:pPr>
    </w:p>
    <w:p w:rsidR="00195ED6" w:rsidRDefault="00195ED6" w:rsidP="00C8260E">
      <w:pPr>
        <w:jc w:val="right"/>
        <w:rPr>
          <w:rStyle w:val="Emphasis"/>
          <w:rFonts w:cs="Calibri"/>
        </w:rPr>
      </w:pPr>
    </w:p>
    <w:p w:rsidR="00294D88" w:rsidRDefault="00294D88" w:rsidP="00303CF1">
      <w:pPr>
        <w:pStyle w:val="Heading1"/>
        <w:ind w:left="425" w:hanging="425"/>
      </w:pPr>
      <w:r>
        <w:t xml:space="preserve">Европейски съюз </w:t>
      </w:r>
    </w:p>
    <w:p w:rsidR="00294D88" w:rsidRPr="00195ED6" w:rsidRDefault="00132B9F" w:rsidP="00195ED6">
      <w:pPr>
        <w:jc w:val="both"/>
        <w:rPr>
          <w:b/>
          <w:color w:val="auto"/>
        </w:rPr>
      </w:pPr>
      <w:r w:rsidRPr="00826898">
        <w:rPr>
          <w:color w:val="auto"/>
        </w:rPr>
        <w:t>През</w:t>
      </w:r>
      <w:r w:rsidR="003334C5" w:rsidRPr="00826898">
        <w:rPr>
          <w:color w:val="auto"/>
        </w:rPr>
        <w:t xml:space="preserve"> </w:t>
      </w:r>
      <w:r w:rsidR="00B34E4E" w:rsidRPr="00826898">
        <w:rPr>
          <w:color w:val="auto"/>
        </w:rPr>
        <w:t xml:space="preserve">периода </w:t>
      </w:r>
      <w:r w:rsidR="009F0B16">
        <w:rPr>
          <w:b/>
          <w:bCs/>
          <w:color w:val="auto"/>
        </w:rPr>
        <w:t>януари</w:t>
      </w:r>
      <w:r w:rsidR="00B34E4E" w:rsidRPr="00826898">
        <w:rPr>
          <w:b/>
          <w:bCs/>
          <w:color w:val="auto"/>
        </w:rPr>
        <w:t xml:space="preserve"> </w:t>
      </w:r>
      <w:r w:rsidR="00FD10DB">
        <w:rPr>
          <w:b/>
          <w:color w:val="auto"/>
        </w:rPr>
        <w:t>–</w:t>
      </w:r>
      <w:r w:rsidR="00195ED6">
        <w:rPr>
          <w:b/>
          <w:color w:val="auto"/>
        </w:rPr>
        <w:t xml:space="preserve"> </w:t>
      </w:r>
      <w:r w:rsidR="00A04B7F">
        <w:rPr>
          <w:b/>
          <w:bCs/>
          <w:color w:val="auto"/>
        </w:rPr>
        <w:t xml:space="preserve">октомври </w:t>
      </w:r>
      <w:r w:rsidR="00294D88" w:rsidRPr="00826898">
        <w:rPr>
          <w:b/>
          <w:color w:val="auto"/>
        </w:rPr>
        <w:t>20</w:t>
      </w:r>
      <w:r w:rsidR="009F0B16">
        <w:rPr>
          <w:b/>
          <w:color w:val="auto"/>
        </w:rPr>
        <w:t xml:space="preserve">19 </w:t>
      </w:r>
      <w:r w:rsidR="00294D88" w:rsidRPr="00826898">
        <w:rPr>
          <w:b/>
          <w:color w:val="auto"/>
        </w:rPr>
        <w:t>г.</w:t>
      </w:r>
      <w:r w:rsidR="00294D88" w:rsidRPr="00826898">
        <w:rPr>
          <w:color w:val="auto"/>
        </w:rPr>
        <w:t xml:space="preserve"> страните от Европейския съюз продължават да са най-важният генериращ пазар за международен туризъм на България с </w:t>
      </w:r>
      <w:r w:rsidR="00294D88" w:rsidRPr="00826898">
        <w:rPr>
          <w:b/>
          <w:color w:val="auto"/>
        </w:rPr>
        <w:t xml:space="preserve">относителен </w:t>
      </w:r>
      <w:r w:rsidR="00294D88" w:rsidRPr="00932C0D">
        <w:rPr>
          <w:b/>
          <w:color w:val="auto"/>
        </w:rPr>
        <w:t>дял</w:t>
      </w:r>
      <w:r w:rsidR="004E1416" w:rsidRPr="00932C0D">
        <w:rPr>
          <w:b/>
          <w:color w:val="auto"/>
        </w:rPr>
        <w:t xml:space="preserve"> </w:t>
      </w:r>
      <w:r w:rsidR="00D21392" w:rsidRPr="00D21392">
        <w:rPr>
          <w:b/>
          <w:color w:val="auto"/>
        </w:rPr>
        <w:t>61,1</w:t>
      </w:r>
      <w:r w:rsidR="00294D88" w:rsidRPr="00932C0D">
        <w:rPr>
          <w:b/>
          <w:color w:val="auto"/>
        </w:rPr>
        <w:t>%</w:t>
      </w:r>
      <w:r w:rsidR="00294D88" w:rsidRPr="00932C0D">
        <w:rPr>
          <w:color w:val="auto"/>
          <w:lang w:val="ru-RU"/>
        </w:rPr>
        <w:t xml:space="preserve"> </w:t>
      </w:r>
      <w:r w:rsidR="00294D88" w:rsidRPr="00826898">
        <w:rPr>
          <w:bCs/>
          <w:color w:val="auto"/>
          <w:lang w:val="ru-RU"/>
        </w:rPr>
        <w:t>и</w:t>
      </w:r>
      <w:r w:rsidR="00294D88" w:rsidRPr="00826898">
        <w:rPr>
          <w:b/>
          <w:color w:val="auto"/>
        </w:rPr>
        <w:t xml:space="preserve"> общ обем</w:t>
      </w:r>
      <w:r w:rsidR="00294D88" w:rsidRPr="00826898">
        <w:rPr>
          <w:color w:val="auto"/>
        </w:rPr>
        <w:t xml:space="preserve"> </w:t>
      </w:r>
      <w:r w:rsidR="00294D88" w:rsidRPr="00826898">
        <w:rPr>
          <w:b/>
          <w:color w:val="auto"/>
        </w:rPr>
        <w:t>от</w:t>
      </w:r>
      <w:r w:rsidR="009F0B16">
        <w:rPr>
          <w:b/>
          <w:color w:val="auto"/>
        </w:rPr>
        <w:t xml:space="preserve"> </w:t>
      </w:r>
      <w:r w:rsidR="00D21392" w:rsidRPr="00D21392">
        <w:rPr>
          <w:b/>
          <w:color w:val="auto"/>
        </w:rPr>
        <w:t>5</w:t>
      </w:r>
      <w:r w:rsidR="00195ED6">
        <w:rPr>
          <w:b/>
          <w:color w:val="auto"/>
        </w:rPr>
        <w:t> </w:t>
      </w:r>
      <w:r w:rsidR="00D21392" w:rsidRPr="00D21392">
        <w:rPr>
          <w:b/>
          <w:color w:val="auto"/>
        </w:rPr>
        <w:t>125</w:t>
      </w:r>
      <w:r w:rsidR="00195ED6">
        <w:rPr>
          <w:b/>
          <w:color w:val="auto"/>
        </w:rPr>
        <w:t> </w:t>
      </w:r>
      <w:r w:rsidR="00D21392" w:rsidRPr="00D21392">
        <w:rPr>
          <w:b/>
          <w:color w:val="auto"/>
        </w:rPr>
        <w:t>514</w:t>
      </w:r>
      <w:r w:rsidR="00195ED6">
        <w:rPr>
          <w:b/>
          <w:color w:val="auto"/>
        </w:rPr>
        <w:t xml:space="preserve"> </w:t>
      </w:r>
      <w:r w:rsidR="00294D88" w:rsidRPr="00826898">
        <w:rPr>
          <w:b/>
          <w:color w:val="auto"/>
        </w:rPr>
        <w:t>туристически посещения</w:t>
      </w:r>
      <w:r w:rsidR="00294D88" w:rsidRPr="00826898">
        <w:rPr>
          <w:color w:val="auto"/>
        </w:rPr>
        <w:t xml:space="preserve"> </w:t>
      </w:r>
      <w:r w:rsidR="00294D88" w:rsidRPr="00826898">
        <w:rPr>
          <w:b/>
          <w:color w:val="auto"/>
          <w:lang w:val="ru-RU"/>
        </w:rPr>
        <w:t>(</w:t>
      </w:r>
      <w:r w:rsidR="00281930">
        <w:rPr>
          <w:b/>
          <w:color w:val="auto"/>
        </w:rPr>
        <w:t xml:space="preserve">спад </w:t>
      </w:r>
      <w:r w:rsidR="00294D88" w:rsidRPr="00826898">
        <w:rPr>
          <w:b/>
          <w:color w:val="auto"/>
          <w:lang w:val="ru-RU"/>
        </w:rPr>
        <w:t>от</w:t>
      </w:r>
      <w:r w:rsidR="00026B30" w:rsidRPr="00026B30">
        <w:rPr>
          <w:b/>
          <w:color w:val="auto"/>
        </w:rPr>
        <w:t xml:space="preserve"> </w:t>
      </w:r>
      <w:r w:rsidR="00D21392" w:rsidRPr="00D21392">
        <w:rPr>
          <w:b/>
          <w:color w:val="auto"/>
        </w:rPr>
        <w:t>-1,2</w:t>
      </w:r>
      <w:r w:rsidR="00294D88" w:rsidRPr="00826898">
        <w:rPr>
          <w:b/>
          <w:color w:val="auto"/>
        </w:rPr>
        <w:t>%</w:t>
      </w:r>
      <w:r w:rsidR="00294D88" w:rsidRPr="00826898">
        <w:rPr>
          <w:b/>
          <w:color w:val="auto"/>
          <w:lang w:val="ru-RU"/>
        </w:rPr>
        <w:t>)</w:t>
      </w:r>
      <w:r w:rsidR="00294D88" w:rsidRPr="00826898">
        <w:rPr>
          <w:b/>
          <w:color w:val="auto"/>
        </w:rPr>
        <w:t>.</w:t>
      </w:r>
    </w:p>
    <w:p w:rsidR="0029123C" w:rsidRPr="00826898" w:rsidRDefault="0029123C" w:rsidP="0081188A">
      <w:pPr>
        <w:jc w:val="both"/>
        <w:rPr>
          <w:b/>
          <w:color w:val="auto"/>
        </w:rPr>
      </w:pPr>
    </w:p>
    <w:p w:rsidR="00294D88" w:rsidRDefault="00195ED6" w:rsidP="00195ED6">
      <w:pPr>
        <w:pStyle w:val="Caption"/>
      </w:pPr>
      <w:r>
        <w:lastRenderedPageBreak/>
        <w:t xml:space="preserve">  </w:t>
      </w:r>
      <w:r w:rsidR="00294D88" w:rsidRPr="009B2C7E"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2</w:t>
      </w:r>
      <w:r w:rsidR="00D13933">
        <w:rPr>
          <w:noProof/>
        </w:rPr>
        <w:fldChar w:fldCharType="end"/>
      </w:r>
      <w:r w:rsidR="00294D88" w:rsidRPr="009B2C7E">
        <w:t xml:space="preserve">. </w:t>
      </w:r>
      <w:r w:rsidR="00C17EF9">
        <w:t xml:space="preserve">Туристически посещения </w:t>
      </w:r>
      <w:r w:rsidR="00294D88">
        <w:t>от ЕС</w:t>
      </w:r>
      <w:r w:rsidR="00294D88" w:rsidRPr="009B2C7E">
        <w:t xml:space="preserve"> в България</w:t>
      </w:r>
      <w:r w:rsidR="00B34E4E">
        <w:t xml:space="preserve"> </w:t>
      </w:r>
      <w:r w:rsidR="00EC474E">
        <w:t>януари</w:t>
      </w:r>
      <w:r>
        <w:t>-</w:t>
      </w:r>
      <w:r w:rsidR="00A04B7F">
        <w:t xml:space="preserve">октомври </w:t>
      </w:r>
      <w:r w:rsidR="005E616B">
        <w:t>2019</w:t>
      </w:r>
      <w:r w:rsidR="00294D88" w:rsidRPr="009B2C7E">
        <w:t xml:space="preserve"> </w:t>
      </w:r>
      <w:r w:rsidR="0081188A">
        <w:t>г.</w:t>
      </w:r>
      <w:r w:rsidR="00294D88" w:rsidRPr="009B2C7E">
        <w:t>/</w:t>
      </w:r>
      <w:r w:rsidR="00EC474E">
        <w:t>януари</w:t>
      </w:r>
      <w:r>
        <w:t>-</w:t>
      </w:r>
      <w:r w:rsidR="00A04B7F">
        <w:t xml:space="preserve">октомври </w:t>
      </w:r>
      <w:r w:rsidR="005E616B">
        <w:t>2018</w:t>
      </w:r>
      <w:r w:rsidR="00294D88" w:rsidRPr="009B2C7E">
        <w:t xml:space="preserve"> г.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567"/>
        <w:gridCol w:w="4395"/>
        <w:gridCol w:w="1275"/>
        <w:gridCol w:w="1560"/>
        <w:gridCol w:w="1275"/>
      </w:tblGrid>
      <w:tr w:rsidR="00294D88" w:rsidRPr="008A5451" w:rsidTr="00C36DC9">
        <w:trPr>
          <w:trHeight w:val="20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>Държава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1F3727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294D88" w:rsidRPr="00AB33F1" w:rsidRDefault="00294D88" w:rsidP="00BA0056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294D88" w:rsidRPr="008A5451" w:rsidTr="004E1416">
        <w:trPr>
          <w:trHeight w:val="20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E236B0" w:rsidP="00BA0056">
            <w:pPr>
              <w:rPr>
                <w:b/>
                <w:color w:val="FFFFFF"/>
                <w:szCs w:val="24"/>
              </w:rPr>
            </w:pPr>
            <w:r w:rsidRPr="00E236B0">
              <w:rPr>
                <w:b/>
                <w:color w:val="FFFFFF"/>
                <w:szCs w:val="24"/>
              </w:rPr>
              <w:t>Общо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5F1E11" w:rsidP="00BA0056">
            <w:pPr>
              <w:jc w:val="right"/>
              <w:rPr>
                <w:b/>
                <w:color w:val="FFFFFF"/>
                <w:szCs w:val="24"/>
              </w:rPr>
            </w:pPr>
            <w:r w:rsidRPr="005F1E11">
              <w:rPr>
                <w:b/>
                <w:color w:val="FFFFFF"/>
                <w:szCs w:val="24"/>
              </w:rPr>
              <w:t>5 125 514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6600"/>
          </w:tcPr>
          <w:p w:rsidR="00294D88" w:rsidRPr="003C737A" w:rsidRDefault="005F1E11" w:rsidP="00BA0056">
            <w:pPr>
              <w:jc w:val="right"/>
              <w:rPr>
                <w:b/>
                <w:color w:val="FFFFFF"/>
                <w:szCs w:val="24"/>
              </w:rPr>
            </w:pPr>
            <w:r w:rsidRPr="005F1E11">
              <w:rPr>
                <w:b/>
                <w:color w:val="FFFFFF"/>
                <w:szCs w:val="24"/>
              </w:rPr>
              <w:t>-62 035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6600"/>
            <w:vAlign w:val="bottom"/>
          </w:tcPr>
          <w:p w:rsidR="00294D88" w:rsidRPr="003C737A" w:rsidRDefault="005F1E11" w:rsidP="00BA0056">
            <w:pPr>
              <w:jc w:val="right"/>
              <w:rPr>
                <w:b/>
                <w:color w:val="FFFFFF"/>
                <w:szCs w:val="24"/>
              </w:rPr>
            </w:pPr>
            <w:r w:rsidRPr="005F1E11">
              <w:rPr>
                <w:b/>
                <w:color w:val="FFFFFF"/>
                <w:szCs w:val="24"/>
              </w:rPr>
              <w:t>-1,2</w:t>
            </w:r>
          </w:p>
        </w:tc>
      </w:tr>
      <w:tr w:rsidR="005F1E11" w:rsidRPr="00826898" w:rsidTr="00C36DC9">
        <w:trPr>
          <w:trHeight w:val="14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1 114 825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-103 554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-8,5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988 064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56 170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729 832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-92 417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-11,2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438 618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72 569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19,8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404 872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-6 359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195 442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183 218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-15 732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-7,9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137 411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12,4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 xml:space="preserve">ИТАЛИЯ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134 614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-2,5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127 655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8 737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7,3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117 158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83 203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17 565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26,8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81 148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-1,5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72 725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-5 363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-6,9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44 419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-3 772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-7,8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ИРЛАНДИЯ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39 871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9 094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29,5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35 569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-12 488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-26,0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31 120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-7 339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-19,1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29 908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-5 983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-16,7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26 761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4 289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19,1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25 910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30,8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24 616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4 402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21,8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20 734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-6,8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1 957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13,2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13 866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-22,3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-607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-12,3</w:t>
            </w:r>
          </w:p>
        </w:tc>
      </w:tr>
      <w:tr w:rsidR="005F1E11" w:rsidRPr="00826898" w:rsidTr="00C36DC9">
        <w:trPr>
          <w:trHeight w:val="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E11" w:rsidRPr="00826898" w:rsidRDefault="005F1E11" w:rsidP="005F1E11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-1 253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E11" w:rsidRDefault="005F1E11" w:rsidP="005F1E11">
            <w:pPr>
              <w:jc w:val="right"/>
              <w:rPr>
                <w:sz w:val="22"/>
              </w:rPr>
            </w:pPr>
            <w:r>
              <w:rPr>
                <w:sz w:val="22"/>
              </w:rPr>
              <w:t>-30,6</w:t>
            </w:r>
          </w:p>
        </w:tc>
      </w:tr>
    </w:tbl>
    <w:p w:rsidR="00294D88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 xml:space="preserve"> </w:t>
      </w:r>
    </w:p>
    <w:p w:rsidR="00294D88" w:rsidRPr="000A3C94" w:rsidRDefault="00294D88" w:rsidP="00C8260E">
      <w:pPr>
        <w:jc w:val="right"/>
        <w:rPr>
          <w:rStyle w:val="Emphasis"/>
          <w:rFonts w:cs="Calibri"/>
        </w:rPr>
      </w:pPr>
      <w:r w:rsidRPr="000A3C94">
        <w:rPr>
          <w:rStyle w:val="Emphasis"/>
          <w:rFonts w:cs="Calibri"/>
        </w:rPr>
        <w:t>Източник: НСИ</w:t>
      </w:r>
    </w:p>
    <w:p w:rsidR="00294D88" w:rsidRDefault="00294D88" w:rsidP="005744B3">
      <w:pPr>
        <w:rPr>
          <w:rFonts w:ascii="Times New Roman" w:hAnsi="Times New Roman" w:cs="Times New Roman"/>
        </w:rPr>
      </w:pPr>
    </w:p>
    <w:p w:rsidR="00294D88" w:rsidRDefault="00294D88" w:rsidP="00EC474E">
      <w:pPr>
        <w:pStyle w:val="Heading1"/>
      </w:pPr>
      <w:r>
        <w:br w:type="page"/>
      </w:r>
      <w:r>
        <w:lastRenderedPageBreak/>
        <w:t xml:space="preserve">Приходи от туризъм – България </w:t>
      </w:r>
    </w:p>
    <w:p w:rsidR="00294D88" w:rsidRPr="00662155" w:rsidRDefault="00294D88" w:rsidP="00662155">
      <w:pPr>
        <w:pStyle w:val="ListParagraph"/>
        <w:numPr>
          <w:ilvl w:val="1"/>
          <w:numId w:val="1"/>
        </w:numPr>
        <w:rPr>
          <w:color w:val="0A331A"/>
        </w:rPr>
      </w:pPr>
      <w:r w:rsidRPr="00662155">
        <w:rPr>
          <w:color w:val="0A331A"/>
        </w:rPr>
        <w:t xml:space="preserve">Текущи данни </w:t>
      </w:r>
    </w:p>
    <w:p w:rsidR="008C0996" w:rsidRPr="008C0996" w:rsidRDefault="008C0996" w:rsidP="008C0996">
      <w:pPr>
        <w:rPr>
          <w:color w:val="auto"/>
        </w:rPr>
      </w:pPr>
      <w:r w:rsidRPr="008C0996">
        <w:rPr>
          <w:color w:val="auto"/>
        </w:rPr>
        <w:t xml:space="preserve">Януари – септември </w:t>
      </w:r>
    </w:p>
    <w:p w:rsidR="00CD0489" w:rsidRDefault="008C0996" w:rsidP="00195ED6">
      <w:pPr>
        <w:jc w:val="both"/>
        <w:rPr>
          <w:color w:val="auto"/>
        </w:rPr>
      </w:pPr>
      <w:r w:rsidRPr="008C0996">
        <w:rPr>
          <w:color w:val="auto"/>
        </w:rPr>
        <w:t>За периода януари – септември 2019 г. приходите от международен туризъм надхвърл</w:t>
      </w:r>
      <w:r w:rsidR="00195ED6">
        <w:rPr>
          <w:color w:val="auto"/>
        </w:rPr>
        <w:t>ят 3,2 млрд. евро, като спадът</w:t>
      </w:r>
      <w:r w:rsidRPr="008C0996">
        <w:rPr>
          <w:color w:val="auto"/>
        </w:rPr>
        <w:t xml:space="preserve"> е -0,6% (т.е</w:t>
      </w:r>
      <w:r w:rsidR="00195ED6">
        <w:rPr>
          <w:color w:val="auto"/>
        </w:rPr>
        <w:t>.</w:t>
      </w:r>
      <w:r w:rsidRPr="008C0996">
        <w:rPr>
          <w:color w:val="auto"/>
        </w:rPr>
        <w:t xml:space="preserve"> под 1%)</w:t>
      </w:r>
      <w:r w:rsidR="00195ED6">
        <w:rPr>
          <w:color w:val="auto"/>
        </w:rPr>
        <w:t>.</w:t>
      </w:r>
    </w:p>
    <w:p w:rsidR="008C0996" w:rsidRPr="00FD10DB" w:rsidRDefault="008C0996" w:rsidP="008C0996">
      <w:pPr>
        <w:jc w:val="both"/>
        <w:rPr>
          <w:color w:val="auto"/>
        </w:rPr>
      </w:pPr>
    </w:p>
    <w:p w:rsidR="00294D88" w:rsidRDefault="00294D88" w:rsidP="00662155">
      <w:pPr>
        <w:rPr>
          <w:color w:val="auto"/>
        </w:rPr>
      </w:pPr>
      <w:r w:rsidRPr="00826898">
        <w:rPr>
          <w:color w:val="auto"/>
        </w:rPr>
        <w:t xml:space="preserve">3.2 Данни за изминалата година </w:t>
      </w:r>
    </w:p>
    <w:p w:rsidR="00D20C6D" w:rsidRPr="00D20C6D" w:rsidRDefault="00D20C6D" w:rsidP="00D20C6D">
      <w:pPr>
        <w:jc w:val="both"/>
        <w:rPr>
          <w:color w:val="auto"/>
          <w:lang w:val="ru-RU"/>
        </w:rPr>
      </w:pPr>
      <w:r w:rsidRPr="00D20C6D">
        <w:rPr>
          <w:color w:val="auto"/>
          <w:lang w:val="ru-RU"/>
        </w:rPr>
        <w:t>Приходите от международен туризъм възлизат на над 3,7 млрд. eвро за 2018 г. Ръстът спрямо 2017 г. е 6,5%.</w:t>
      </w:r>
    </w:p>
    <w:p w:rsidR="00C051BD" w:rsidRPr="00D20C6D" w:rsidRDefault="00C051BD" w:rsidP="00A96FFB">
      <w:pPr>
        <w:jc w:val="both"/>
        <w:rPr>
          <w:color w:val="auto"/>
          <w:lang w:val="ru-RU"/>
        </w:rPr>
      </w:pPr>
    </w:p>
    <w:p w:rsidR="00C051BD" w:rsidRDefault="00294D88" w:rsidP="00D241E0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4</w:t>
      </w:r>
      <w:r w:rsidR="00D13933">
        <w:rPr>
          <w:noProof/>
        </w:rPr>
        <w:fldChar w:fldCharType="end"/>
      </w:r>
      <w:r w:rsidRPr="001B4EE4">
        <w:t>. Приходи</w:t>
      </w:r>
      <w:r w:rsidR="00493CBD">
        <w:t xml:space="preserve"> от международен туризъм (млн.</w:t>
      </w:r>
      <w:r w:rsidR="00D241E0" w:rsidRPr="00D241E0">
        <w:t xml:space="preserve"> </w:t>
      </w:r>
      <w:r w:rsidR="00493CBD">
        <w:t>евро</w:t>
      </w:r>
      <w:r w:rsidRPr="001B4EE4">
        <w:t xml:space="preserve">) </w:t>
      </w:r>
      <w:r w:rsidR="00D241E0" w:rsidRPr="00D241E0">
        <w:t>-</w:t>
      </w:r>
      <w:r w:rsidRPr="001B4EE4">
        <w:t xml:space="preserve"> годишни данни</w:t>
      </w:r>
    </w:p>
    <w:p w:rsidR="00C051BD" w:rsidRPr="00C051BD" w:rsidRDefault="0021776A" w:rsidP="00C051BD">
      <w:pPr>
        <w:rPr>
          <w:lang w:val="en-US"/>
        </w:rPr>
      </w:pPr>
      <w:r w:rsidRPr="00A83C3F">
        <w:rPr>
          <w:noProof/>
          <w:lang w:eastAsia="bg-BG"/>
        </w:rPr>
        <w:drawing>
          <wp:inline distT="0" distB="0" distL="0" distR="0">
            <wp:extent cx="5346700" cy="2743200"/>
            <wp:effectExtent l="0" t="0" r="0" b="0"/>
            <wp:docPr id="6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94D88" w:rsidRDefault="00294D88" w:rsidP="008C3705">
      <w:pPr>
        <w:ind w:left="426"/>
        <w:jc w:val="right"/>
        <w:rPr>
          <w:rStyle w:val="Emphasis"/>
          <w:rFonts w:cs="Calibri"/>
          <w:i w:val="0"/>
        </w:rPr>
      </w:pPr>
      <w:r w:rsidRPr="00E35903">
        <w:rPr>
          <w:rStyle w:val="Emphasis"/>
          <w:rFonts w:cs="Calibri"/>
        </w:rPr>
        <w:t xml:space="preserve">Източник: </w:t>
      </w:r>
      <w:r>
        <w:rPr>
          <w:rStyle w:val="Emphasis"/>
          <w:rFonts w:cs="Calibri"/>
        </w:rPr>
        <w:t>БНБ</w:t>
      </w: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</w:rPr>
      </w:pPr>
    </w:p>
    <w:p w:rsidR="00EC474E" w:rsidRDefault="00EC474E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</w:p>
    <w:p w:rsidR="00EC474E" w:rsidRPr="00EC474E" w:rsidRDefault="00EC474E" w:rsidP="008C3705">
      <w:pPr>
        <w:ind w:left="426"/>
        <w:jc w:val="right"/>
        <w:rPr>
          <w:rStyle w:val="Emphasis"/>
          <w:rFonts w:cs="Calibri"/>
          <w:i w:val="0"/>
          <w:iCs w:val="0"/>
          <w:noProof/>
          <w:sz w:val="24"/>
          <w:lang w:eastAsia="bg-BG"/>
        </w:rPr>
      </w:pPr>
    </w:p>
    <w:p w:rsidR="00294D88" w:rsidRPr="008C3705" w:rsidRDefault="00294D88" w:rsidP="00C051BD">
      <w:pPr>
        <w:pStyle w:val="Heading1"/>
        <w:ind w:left="425" w:hanging="425"/>
        <w:rPr>
          <w:lang w:val="ru-RU"/>
        </w:rPr>
      </w:pPr>
      <w:r w:rsidRPr="008C3705">
        <w:rPr>
          <w:lang w:val="ru-RU"/>
        </w:rPr>
        <w:t xml:space="preserve">Пътувания на български граждани в чужбина </w:t>
      </w:r>
    </w:p>
    <w:p w:rsidR="00294D88" w:rsidRPr="00EB493E" w:rsidRDefault="00294D88" w:rsidP="00B21AD1">
      <w:pPr>
        <w:jc w:val="both"/>
        <w:rPr>
          <w:color w:val="auto"/>
          <w:szCs w:val="24"/>
          <w:lang w:val="ru-RU"/>
        </w:rPr>
      </w:pPr>
      <w:r w:rsidRPr="009B38B2">
        <w:rPr>
          <w:color w:val="auto"/>
          <w:szCs w:val="24"/>
        </w:rPr>
        <w:t>През</w:t>
      </w:r>
      <w:r w:rsidR="00A60FCA" w:rsidRPr="009B38B2">
        <w:rPr>
          <w:color w:val="auto"/>
          <w:szCs w:val="24"/>
          <w:lang w:val="ru-RU"/>
        </w:rPr>
        <w:t xml:space="preserve"> </w:t>
      </w:r>
      <w:r w:rsidR="0073004B">
        <w:rPr>
          <w:color w:val="auto"/>
          <w:szCs w:val="24"/>
          <w:lang w:val="ru-RU"/>
        </w:rPr>
        <w:t xml:space="preserve">периода </w:t>
      </w:r>
      <w:r w:rsidR="00D20C6D">
        <w:rPr>
          <w:b/>
          <w:bCs/>
          <w:color w:val="auto"/>
          <w:szCs w:val="24"/>
        </w:rPr>
        <w:t xml:space="preserve">януари </w:t>
      </w:r>
      <w:r w:rsidR="009D4D93">
        <w:rPr>
          <w:b/>
          <w:bCs/>
          <w:color w:val="auto"/>
          <w:szCs w:val="24"/>
          <w:lang w:val="ru-RU"/>
        </w:rPr>
        <w:t>–</w:t>
      </w:r>
      <w:r w:rsidR="0073004B" w:rsidRPr="0073004B">
        <w:rPr>
          <w:b/>
          <w:bCs/>
          <w:color w:val="auto"/>
          <w:szCs w:val="24"/>
          <w:lang w:val="ru-RU"/>
        </w:rPr>
        <w:t xml:space="preserve"> </w:t>
      </w:r>
      <w:r w:rsidR="00C85FB9">
        <w:rPr>
          <w:b/>
          <w:bCs/>
          <w:color w:val="auto"/>
          <w:szCs w:val="24"/>
        </w:rPr>
        <w:t xml:space="preserve">октомври </w:t>
      </w:r>
      <w:r w:rsidR="00D20C6D">
        <w:rPr>
          <w:b/>
          <w:bCs/>
          <w:color w:val="auto"/>
          <w:szCs w:val="24"/>
        </w:rPr>
        <w:t>2019</w:t>
      </w:r>
      <w:r w:rsidRPr="009B38B2">
        <w:rPr>
          <w:b/>
          <w:color w:val="auto"/>
          <w:szCs w:val="24"/>
        </w:rPr>
        <w:t xml:space="preserve"> г</w:t>
      </w:r>
      <w:r w:rsidRPr="009B38B2">
        <w:rPr>
          <w:color w:val="auto"/>
          <w:szCs w:val="24"/>
        </w:rPr>
        <w:t>.</w:t>
      </w:r>
      <w:r w:rsidRPr="009B38B2">
        <w:rPr>
          <w:color w:val="auto"/>
          <w:szCs w:val="24"/>
          <w:lang w:val="ru-RU"/>
        </w:rPr>
        <w:t xml:space="preserve"> </w:t>
      </w:r>
      <w:r w:rsidR="00132B9F">
        <w:rPr>
          <w:color w:val="auto"/>
          <w:szCs w:val="24"/>
        </w:rPr>
        <w:t>българските</w:t>
      </w:r>
      <w:r w:rsidR="009D4D93" w:rsidRPr="009D4D93">
        <w:rPr>
          <w:color w:val="auto"/>
          <w:szCs w:val="24"/>
          <w:lang w:val="ru-RU"/>
        </w:rPr>
        <w:t xml:space="preserve"> </w:t>
      </w:r>
      <w:r w:rsidR="00132B9F">
        <w:rPr>
          <w:color w:val="auto"/>
          <w:szCs w:val="24"/>
        </w:rPr>
        <w:t>граждани</w:t>
      </w:r>
      <w:r w:rsidR="00A60FCA"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са</w:t>
      </w:r>
      <w:r w:rsidRPr="009B38B2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реализирали</w:t>
      </w:r>
      <w:r w:rsidR="009D4D93" w:rsidRPr="009D4D93">
        <w:rPr>
          <w:color w:val="auto"/>
          <w:szCs w:val="24"/>
          <w:lang w:val="ru-RU"/>
        </w:rPr>
        <w:t xml:space="preserve"> </w:t>
      </w:r>
      <w:r w:rsidRPr="009B38B2">
        <w:rPr>
          <w:color w:val="auto"/>
          <w:szCs w:val="24"/>
        </w:rPr>
        <w:t>общо</w:t>
      </w:r>
      <w:r w:rsidR="00E236B0" w:rsidRPr="00E236B0">
        <w:rPr>
          <w:color w:val="auto"/>
          <w:szCs w:val="24"/>
          <w:lang w:val="ru-RU"/>
        </w:rPr>
        <w:t xml:space="preserve"> </w:t>
      </w:r>
      <w:r w:rsidR="00B21AD1">
        <w:rPr>
          <w:b/>
          <w:color w:val="auto"/>
          <w:szCs w:val="24"/>
          <w:lang w:val="ru-RU"/>
        </w:rPr>
        <w:t>6</w:t>
      </w:r>
      <w:r w:rsidR="00A50668">
        <w:rPr>
          <w:b/>
          <w:color w:val="auto"/>
        </w:rPr>
        <w:t> </w:t>
      </w:r>
      <w:r w:rsidR="00B21AD1">
        <w:rPr>
          <w:b/>
          <w:color w:val="auto"/>
        </w:rPr>
        <w:t>038</w:t>
      </w:r>
      <w:r w:rsidR="00195ED6">
        <w:rPr>
          <w:b/>
          <w:color w:val="auto"/>
        </w:rPr>
        <w:t> </w:t>
      </w:r>
      <w:r w:rsidR="00B21AD1">
        <w:rPr>
          <w:b/>
          <w:color w:val="auto"/>
          <w:szCs w:val="24"/>
          <w:lang w:val="ru-RU"/>
        </w:rPr>
        <w:t>944</w:t>
      </w:r>
      <w:r w:rsidR="00195ED6">
        <w:rPr>
          <w:b/>
          <w:color w:val="auto"/>
          <w:szCs w:val="24"/>
          <w:lang w:val="ru-RU"/>
        </w:rPr>
        <w:t xml:space="preserve"> </w:t>
      </w:r>
      <w:r w:rsidRPr="009B38B2">
        <w:rPr>
          <w:b/>
          <w:color w:val="auto"/>
          <w:szCs w:val="24"/>
        </w:rPr>
        <w:t xml:space="preserve">пътувания </w:t>
      </w:r>
      <w:r w:rsidRPr="009B38B2">
        <w:rPr>
          <w:color w:val="auto"/>
          <w:szCs w:val="24"/>
        </w:rPr>
        <w:t xml:space="preserve">в чужбина по всички видове цели. </w:t>
      </w:r>
      <w:r w:rsidRPr="009B38B2">
        <w:rPr>
          <w:b/>
          <w:color w:val="auto"/>
          <w:szCs w:val="24"/>
        </w:rPr>
        <w:t>Увеличението</w:t>
      </w:r>
      <w:r w:rsidRPr="009B38B2">
        <w:rPr>
          <w:color w:val="auto"/>
          <w:szCs w:val="24"/>
        </w:rPr>
        <w:t xml:space="preserve"> спрямо </w:t>
      </w:r>
      <w:r w:rsidR="00A50668">
        <w:rPr>
          <w:color w:val="auto"/>
          <w:szCs w:val="24"/>
        </w:rPr>
        <w:t xml:space="preserve">периода </w:t>
      </w:r>
      <w:r w:rsidR="00EC474E">
        <w:rPr>
          <w:color w:val="auto"/>
          <w:szCs w:val="24"/>
        </w:rPr>
        <w:t>януари</w:t>
      </w:r>
      <w:r w:rsidR="0073004B">
        <w:rPr>
          <w:color w:val="auto"/>
          <w:szCs w:val="24"/>
        </w:rPr>
        <w:t xml:space="preserve"> </w:t>
      </w:r>
      <w:r w:rsidR="00A50668">
        <w:rPr>
          <w:color w:val="auto"/>
          <w:szCs w:val="24"/>
        </w:rPr>
        <w:t>–</w:t>
      </w:r>
      <w:r w:rsidR="00195ED6">
        <w:rPr>
          <w:color w:val="auto"/>
          <w:szCs w:val="24"/>
        </w:rPr>
        <w:t xml:space="preserve"> </w:t>
      </w:r>
      <w:r w:rsidR="00C85FB9">
        <w:rPr>
          <w:color w:val="auto"/>
          <w:szCs w:val="24"/>
        </w:rPr>
        <w:t>октомври</w:t>
      </w:r>
      <w:r w:rsidR="00195ED6">
        <w:rPr>
          <w:color w:val="auto"/>
          <w:szCs w:val="24"/>
        </w:rPr>
        <w:t xml:space="preserve"> </w:t>
      </w:r>
      <w:r w:rsidR="00865EB1">
        <w:rPr>
          <w:bCs/>
          <w:color w:val="auto"/>
          <w:szCs w:val="24"/>
        </w:rPr>
        <w:t>2018</w:t>
      </w:r>
      <w:r w:rsidRPr="009B38B2">
        <w:rPr>
          <w:bCs/>
          <w:color w:val="auto"/>
          <w:szCs w:val="24"/>
        </w:rPr>
        <w:t xml:space="preserve"> </w:t>
      </w:r>
      <w:r w:rsidRPr="009B38B2">
        <w:rPr>
          <w:color w:val="auto"/>
          <w:szCs w:val="24"/>
        </w:rPr>
        <w:t xml:space="preserve">г. </w:t>
      </w:r>
      <w:r w:rsidRPr="009B38B2">
        <w:rPr>
          <w:b/>
          <w:color w:val="auto"/>
          <w:szCs w:val="24"/>
        </w:rPr>
        <w:t>е</w:t>
      </w:r>
      <w:r w:rsidR="00D20C6D" w:rsidRPr="006C4791">
        <w:rPr>
          <w:b/>
          <w:color w:val="auto"/>
          <w:szCs w:val="24"/>
        </w:rPr>
        <w:t xml:space="preserve"> </w:t>
      </w:r>
      <w:r w:rsidR="00672FB2" w:rsidRPr="00672FB2">
        <w:rPr>
          <w:b/>
          <w:color w:val="auto"/>
          <w:szCs w:val="24"/>
        </w:rPr>
        <w:t>4,2</w:t>
      </w:r>
      <w:r w:rsidRPr="009B38B2">
        <w:rPr>
          <w:b/>
          <w:color w:val="auto"/>
          <w:szCs w:val="24"/>
        </w:rPr>
        <w:t xml:space="preserve">%. </w:t>
      </w: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D20C6D" w:rsidRDefault="00D20C6D" w:rsidP="00957863">
      <w:pPr>
        <w:jc w:val="both"/>
        <w:rPr>
          <w:b/>
          <w:color w:val="auto"/>
          <w:szCs w:val="24"/>
        </w:rPr>
      </w:pPr>
    </w:p>
    <w:p w:rsidR="00D20C6D" w:rsidRDefault="00D20C6D" w:rsidP="00957863">
      <w:pPr>
        <w:jc w:val="both"/>
        <w:rPr>
          <w:b/>
          <w:color w:val="auto"/>
          <w:szCs w:val="24"/>
        </w:rPr>
      </w:pPr>
    </w:p>
    <w:p w:rsidR="00505D15" w:rsidRDefault="00505D15" w:rsidP="00957863">
      <w:pPr>
        <w:jc w:val="both"/>
        <w:rPr>
          <w:b/>
          <w:color w:val="auto"/>
          <w:szCs w:val="24"/>
        </w:rPr>
      </w:pPr>
    </w:p>
    <w:p w:rsidR="00505D15" w:rsidRDefault="00505D15" w:rsidP="00957863">
      <w:pPr>
        <w:jc w:val="both"/>
        <w:rPr>
          <w:b/>
          <w:color w:val="auto"/>
          <w:szCs w:val="24"/>
        </w:rPr>
      </w:pPr>
    </w:p>
    <w:p w:rsidR="00957863" w:rsidRDefault="00957863" w:rsidP="00957863">
      <w:pPr>
        <w:jc w:val="both"/>
        <w:rPr>
          <w:b/>
          <w:color w:val="auto"/>
          <w:szCs w:val="24"/>
        </w:rPr>
      </w:pPr>
    </w:p>
    <w:p w:rsidR="00294D88" w:rsidRDefault="00294D88" w:rsidP="00A138CF">
      <w:pPr>
        <w:pStyle w:val="Caption"/>
      </w:pPr>
      <w:r w:rsidRPr="001B4EE4">
        <w:lastRenderedPageBreak/>
        <w:t xml:space="preserve">Таблица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Таблица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3</w:t>
      </w:r>
      <w:r w:rsidR="00D13933">
        <w:rPr>
          <w:noProof/>
        </w:rPr>
        <w:fldChar w:fldCharType="end"/>
      </w:r>
      <w:r w:rsidRPr="001B4EE4">
        <w:t>. Пътувания н</w:t>
      </w:r>
      <w:r>
        <w:t>а</w:t>
      </w:r>
      <w:r w:rsidR="0031622F">
        <w:t xml:space="preserve"> българ</w:t>
      </w:r>
      <w:r w:rsidR="00246F13">
        <w:t xml:space="preserve">ски </w:t>
      </w:r>
      <w:r w:rsidR="00132B9F">
        <w:t>гражд</w:t>
      </w:r>
      <w:bookmarkStart w:id="0" w:name="_GoBack"/>
      <w:bookmarkEnd w:id="0"/>
      <w:r w:rsidR="00132B9F">
        <w:t>ани в чужбина</w:t>
      </w:r>
      <w:r w:rsidR="00A32A45">
        <w:t xml:space="preserve"> </w:t>
      </w:r>
      <w:r w:rsidR="00480307">
        <w:t>януари</w:t>
      </w:r>
      <w:r w:rsidR="00A138CF">
        <w:t>-</w:t>
      </w:r>
      <w:r w:rsidR="00A04B7F">
        <w:t xml:space="preserve">октомври </w:t>
      </w:r>
      <w:r w:rsidR="00480307">
        <w:t>2019</w:t>
      </w:r>
      <w:r w:rsidR="00132B9F">
        <w:t xml:space="preserve"> г./</w:t>
      </w:r>
      <w:r w:rsidR="00480307">
        <w:t>яну</w:t>
      </w:r>
      <w:r w:rsidR="00EC474E">
        <w:t>ари</w:t>
      </w:r>
      <w:r w:rsidR="00A138CF">
        <w:t xml:space="preserve">-октомври </w:t>
      </w:r>
      <w:r w:rsidR="00480307">
        <w:t xml:space="preserve">2018 </w:t>
      </w:r>
      <w:r w:rsidR="00A138CF">
        <w:t>г.</w:t>
      </w:r>
    </w:p>
    <w:tbl>
      <w:tblPr>
        <w:tblW w:w="9072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6"/>
        <w:gridCol w:w="691"/>
        <w:gridCol w:w="3149"/>
        <w:gridCol w:w="1263"/>
        <w:gridCol w:w="1549"/>
        <w:gridCol w:w="2384"/>
      </w:tblGrid>
      <w:tr w:rsidR="001E3C9E" w:rsidRPr="00AB33F1" w:rsidTr="00DA6521">
        <w:trPr>
          <w:gridBefore w:val="1"/>
          <w:trHeight w:val="20"/>
          <w:tblHeader/>
        </w:trPr>
        <w:tc>
          <w:tcPr>
            <w:tcW w:w="69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3C9E" w:rsidRPr="00EF69CD" w:rsidRDefault="001E3C9E" w:rsidP="001E3C9E">
            <w:pPr>
              <w:rPr>
                <w:b/>
                <w:bCs/>
                <w:sz w:val="18"/>
                <w:szCs w:val="18"/>
              </w:rPr>
            </w:pPr>
            <w:r w:rsidRPr="00EF69CD">
              <w:rPr>
                <w:b/>
                <w:bCs/>
                <w:sz w:val="18"/>
                <w:szCs w:val="18"/>
              </w:rPr>
              <w:t xml:space="preserve">№ 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3C9E" w:rsidRPr="00826898" w:rsidRDefault="001E3C9E" w:rsidP="001E3C9E">
            <w:pPr>
              <w:rPr>
                <w:b/>
                <w:bCs/>
                <w:color w:val="auto"/>
                <w:sz w:val="18"/>
                <w:szCs w:val="18"/>
              </w:rPr>
            </w:pPr>
            <w:r w:rsidRPr="00826898">
              <w:rPr>
                <w:b/>
                <w:bCs/>
                <w:color w:val="auto"/>
                <w:sz w:val="18"/>
                <w:szCs w:val="18"/>
              </w:rPr>
              <w:t>Държава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3C9E" w:rsidRPr="00AB33F1" w:rsidRDefault="001E3C9E" w:rsidP="001E3C9E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Брой 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3C9E" w:rsidRPr="001F3727" w:rsidRDefault="001E3C9E" w:rsidP="001E3C9E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1E3C9E" w:rsidRPr="00AB33F1" w:rsidRDefault="001E3C9E" w:rsidP="001E3C9E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(брой) 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E3C9E" w:rsidRPr="00AB33F1" w:rsidRDefault="001E3C9E" w:rsidP="001E3C9E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Промяна </w:t>
            </w:r>
          </w:p>
          <w:p w:rsidR="001E3C9E" w:rsidRPr="00AB33F1" w:rsidRDefault="001E3C9E" w:rsidP="001E3C9E">
            <w:pPr>
              <w:jc w:val="right"/>
              <w:rPr>
                <w:b/>
                <w:bCs/>
                <w:sz w:val="18"/>
                <w:szCs w:val="18"/>
              </w:rPr>
            </w:pPr>
            <w:r w:rsidRPr="00AB33F1">
              <w:rPr>
                <w:b/>
                <w:bCs/>
                <w:sz w:val="18"/>
                <w:szCs w:val="18"/>
              </w:rPr>
              <w:t xml:space="preserve">(%) </w:t>
            </w:r>
          </w:p>
        </w:tc>
      </w:tr>
      <w:tr w:rsidR="001E3C9E" w:rsidRPr="00AB33F1" w:rsidTr="00CD5DF4">
        <w:trPr>
          <w:gridBefore w:val="1"/>
          <w:trHeight w:val="271"/>
        </w:trPr>
        <w:tc>
          <w:tcPr>
            <w:tcW w:w="3840" w:type="dxa"/>
            <w:gridSpan w:val="2"/>
            <w:shd w:val="clear" w:color="auto" w:fill="006600"/>
            <w:vAlign w:val="center"/>
          </w:tcPr>
          <w:p w:rsidR="001E3C9E" w:rsidRPr="00826898" w:rsidRDefault="001E3C9E" w:rsidP="001E3C9E">
            <w:pPr>
              <w:rPr>
                <w:b/>
                <w:color w:val="auto"/>
                <w:sz w:val="22"/>
              </w:rPr>
            </w:pPr>
            <w:r w:rsidRPr="00826898">
              <w:rPr>
                <w:b/>
                <w:color w:val="auto"/>
                <w:sz w:val="22"/>
              </w:rPr>
              <w:t>Общо</w:t>
            </w:r>
          </w:p>
        </w:tc>
        <w:tc>
          <w:tcPr>
            <w:tcW w:w="1263" w:type="dxa"/>
            <w:shd w:val="clear" w:color="auto" w:fill="006600"/>
          </w:tcPr>
          <w:p w:rsidR="001E3C9E" w:rsidRPr="00826898" w:rsidRDefault="001E3C9E" w:rsidP="001E3C9E">
            <w:pPr>
              <w:jc w:val="right"/>
              <w:rPr>
                <w:b/>
                <w:color w:val="auto"/>
                <w:sz w:val="22"/>
              </w:rPr>
            </w:pPr>
            <w:r w:rsidRPr="00CD5DF4">
              <w:rPr>
                <w:b/>
                <w:color w:val="auto"/>
                <w:sz w:val="22"/>
              </w:rPr>
              <w:t>6 038 944</w:t>
            </w:r>
          </w:p>
        </w:tc>
        <w:tc>
          <w:tcPr>
            <w:tcW w:w="1549" w:type="dxa"/>
            <w:shd w:val="clear" w:color="auto" w:fill="006600"/>
          </w:tcPr>
          <w:p w:rsidR="001E3C9E" w:rsidRPr="00826898" w:rsidRDefault="001E3C9E" w:rsidP="001E3C9E">
            <w:pPr>
              <w:jc w:val="right"/>
              <w:rPr>
                <w:b/>
                <w:color w:val="auto"/>
                <w:sz w:val="22"/>
              </w:rPr>
            </w:pPr>
            <w:r w:rsidRPr="00CD5DF4">
              <w:rPr>
                <w:b/>
                <w:color w:val="auto"/>
                <w:sz w:val="22"/>
              </w:rPr>
              <w:t>245 052</w:t>
            </w:r>
          </w:p>
        </w:tc>
        <w:tc>
          <w:tcPr>
            <w:tcW w:w="2384" w:type="dxa"/>
            <w:shd w:val="clear" w:color="auto" w:fill="006600"/>
          </w:tcPr>
          <w:p w:rsidR="001E3C9E" w:rsidRPr="00826898" w:rsidRDefault="001E3C9E" w:rsidP="001E3C9E">
            <w:pPr>
              <w:jc w:val="right"/>
              <w:rPr>
                <w:b/>
                <w:color w:val="auto"/>
                <w:sz w:val="22"/>
              </w:rPr>
            </w:pPr>
            <w:r w:rsidRPr="00CD5DF4">
              <w:rPr>
                <w:b/>
                <w:color w:val="auto"/>
                <w:sz w:val="22"/>
              </w:rPr>
              <w:t>4,2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ТУРЦИЯ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1 364 121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82 328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6,4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ГЪРЦИЯ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1 297 647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57 702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РУМЪНИЯ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474 476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26 381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СЪРБИЯ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434 692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9 919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ГЕРМАНИЯ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375 187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16 041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4,5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СЕВЕРНА МАКЕДОНИЯ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372 131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9 415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ИТАЛИЯ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209 368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АВСТРИЯ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198 769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8 998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ИСПАНИЯ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171 641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11 939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7,5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ВЕЛИКОБРИТАНИЯ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161 938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7 389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4,8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ФРАНЦИЯ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149 251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10 266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7,4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ЧЕХИЯ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94 358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5 884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6,7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БЕЛГИЯ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87 890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ПОЛША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66 077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НИДЕРЛАНДИЯ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65 522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3 148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УНГАРИЯ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59 900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2 018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3,5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РУСИЯ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49 378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-3 250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ХЪРВАТИЯ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38 079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5 772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19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СЛОВЕНИЯ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34 230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2 499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СЛОВАКИЯ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33 422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-1 043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ДАНИЯ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24 319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3,6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ПОРТУГАЛИЯ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18 495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-170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-0,9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ИЗРАЕЛ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18 135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ШВЕЙЦАРИЯ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17 631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1 652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УКРАЙНА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17 570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-1 156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-6,2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САЩ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17 419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-578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ШВЕЦИЯ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16 047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-198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АЛБАНИЯ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15 808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37,5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29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ЧЕРНА ГОРА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15 042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6 166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69,5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  <w:lang w:eastAsia="bg-BG"/>
              </w:rPr>
            </w:pPr>
            <w:r>
              <w:rPr>
                <w:sz w:val="22"/>
              </w:rPr>
              <w:t>МОЛДОВА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12 185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-8 427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-40,9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КИПЪР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11 091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-1 317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-10,6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ИРЛАНДИЯ/ЕЙРЕ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10 907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9,4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БОСНА И ХЕРЦЕГОВИНА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10 791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6 124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131,2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МАЛТА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10 050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ЛИТВА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8 234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-1 405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-14,6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НОРВЕГИЯ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7 084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ЛАТВИЯ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6 969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14,0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КАНАДА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6 554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-124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39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ЕСТОНИЯ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4 972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3,8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ФИНЛАНДИЯ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4 313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6,0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41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ЯПОНИЯ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3 895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42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КИТАЙ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3 608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33,7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43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ЛЮКСЕМБУРГ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3 252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-971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-23,0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44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БЕЛАРУС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2 984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-3 707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-55,4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lastRenderedPageBreak/>
              <w:t xml:space="preserve">45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ГРУЗИЯ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2 962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2 899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4601,6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46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МОНАКО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2 550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-1 195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-31,9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ОБЕД.АРАБ.ЕМИР.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2 452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-1 539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-38,6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48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АРМЕНИЯ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1 287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-1 633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-55,9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49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КАТАР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1 216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-981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-44,7</w:t>
            </w:r>
          </w:p>
        </w:tc>
      </w:tr>
      <w:tr w:rsidR="001E3C9E" w:rsidRPr="00826898" w:rsidTr="00DA6521">
        <w:trPr>
          <w:gridBefore w:val="1"/>
          <w:trHeight w:val="20"/>
        </w:trPr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9E" w:rsidRPr="00826898" w:rsidRDefault="001E3C9E" w:rsidP="001E3C9E">
            <w:pPr>
              <w:rPr>
                <w:color w:val="auto"/>
                <w:sz w:val="18"/>
                <w:szCs w:val="18"/>
              </w:rPr>
            </w:pPr>
            <w:r w:rsidRPr="00826898">
              <w:rPr>
                <w:color w:val="auto"/>
                <w:sz w:val="18"/>
                <w:szCs w:val="18"/>
              </w:rPr>
              <w:t xml:space="preserve">50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rPr>
                <w:sz w:val="22"/>
              </w:rPr>
            </w:pPr>
            <w:r>
              <w:rPr>
                <w:sz w:val="22"/>
              </w:rPr>
              <w:t>ЕГИПЕТ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1 106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3C9E" w:rsidRDefault="001E3C9E" w:rsidP="001E3C9E">
            <w:pPr>
              <w:jc w:val="right"/>
              <w:rPr>
                <w:sz w:val="22"/>
              </w:rPr>
            </w:pPr>
            <w:r>
              <w:rPr>
                <w:sz w:val="22"/>
              </w:rPr>
              <w:t>30,7</w:t>
            </w:r>
          </w:p>
        </w:tc>
      </w:tr>
      <w:tr w:rsidR="001E3C9E" w:rsidRPr="00826898" w:rsidTr="00EC47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5"/>
          <w:wAfter w:w="9036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3C9E" w:rsidRDefault="001E3C9E" w:rsidP="001E3C9E">
            <w:pPr>
              <w:rPr>
                <w:rFonts w:eastAsia="Times New Roman"/>
                <w:sz w:val="22"/>
                <w:lang w:eastAsia="bg-BG"/>
              </w:rPr>
            </w:pPr>
          </w:p>
        </w:tc>
      </w:tr>
    </w:tbl>
    <w:p w:rsidR="00294D88" w:rsidRPr="00E35903" w:rsidRDefault="008C64CC" w:rsidP="008C64CC">
      <w:pPr>
        <w:ind w:left="7080"/>
        <w:rPr>
          <w:rStyle w:val="Emphasis"/>
          <w:rFonts w:cs="Calibri"/>
        </w:rPr>
      </w:pPr>
      <w:r>
        <w:rPr>
          <w:rStyle w:val="Emphasis"/>
          <w:rFonts w:cs="Calibri"/>
          <w:lang w:val="en-US"/>
        </w:rPr>
        <w:t xml:space="preserve">              </w:t>
      </w:r>
      <w:r w:rsidR="00294D88" w:rsidRPr="00E35903">
        <w:rPr>
          <w:rStyle w:val="Emphasis"/>
          <w:rFonts w:cs="Calibri"/>
        </w:rPr>
        <w:t>Източник: НСИ</w:t>
      </w:r>
    </w:p>
    <w:p w:rsidR="00294D88" w:rsidRDefault="00294D88" w:rsidP="005C11A5">
      <w:pPr>
        <w:pStyle w:val="Caption"/>
      </w:pPr>
    </w:p>
    <w:p w:rsidR="008C64CC" w:rsidRPr="008C64CC" w:rsidRDefault="008C64CC" w:rsidP="008C64CC">
      <w:pPr>
        <w:spacing w:before="240"/>
      </w:pPr>
    </w:p>
    <w:p w:rsidR="00E46150" w:rsidRDefault="00294D88" w:rsidP="005C11A5">
      <w:pPr>
        <w:pStyle w:val="Caption"/>
      </w:pPr>
      <w:r w:rsidRPr="001B4EE4">
        <w:t xml:space="preserve">Фигура </w:t>
      </w:r>
      <w:r w:rsidR="00D13933">
        <w:rPr>
          <w:noProof/>
        </w:rPr>
        <w:fldChar w:fldCharType="begin"/>
      </w:r>
      <w:r w:rsidR="00D13933">
        <w:rPr>
          <w:noProof/>
        </w:rPr>
        <w:instrText xml:space="preserve"> SEQ фигура \* ARABIC </w:instrText>
      </w:r>
      <w:r w:rsidR="00D13933">
        <w:rPr>
          <w:noProof/>
        </w:rPr>
        <w:fldChar w:fldCharType="separate"/>
      </w:r>
      <w:r w:rsidR="00AB5C9D">
        <w:rPr>
          <w:noProof/>
        </w:rPr>
        <w:t>5</w:t>
      </w:r>
      <w:r w:rsidR="00D13933">
        <w:rPr>
          <w:noProof/>
        </w:rPr>
        <w:fldChar w:fldCharType="end"/>
      </w:r>
      <w:r w:rsidRPr="001B4EE4">
        <w:t>. Пътувания на българи до водещи дестинации (брой)</w:t>
      </w:r>
    </w:p>
    <w:p w:rsidR="00294D88" w:rsidRPr="00A60FCA" w:rsidRDefault="0021776A" w:rsidP="008C64CC">
      <w:pPr>
        <w:pStyle w:val="Caption"/>
        <w:ind w:left="6373" w:firstLine="709"/>
        <w:rPr>
          <w:rStyle w:val="Emphasis"/>
          <w:rFonts w:cs="Calibri"/>
          <w:i w:val="0"/>
          <w:iCs w:val="0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297815</wp:posOffset>
            </wp:positionV>
            <wp:extent cx="5641975" cy="3893820"/>
            <wp:effectExtent l="0" t="0" r="15875" b="11430"/>
            <wp:wrapSquare wrapText="bothSides"/>
            <wp:docPr id="8" name="Objec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FCA" w:rsidRPr="00C17EF9">
        <w:rPr>
          <w:rStyle w:val="Emphasis"/>
          <w:rFonts w:cs="Calibri"/>
        </w:rPr>
        <w:t xml:space="preserve">       </w:t>
      </w:r>
      <w:r w:rsidR="00294D88" w:rsidRPr="00A60FCA">
        <w:rPr>
          <w:rStyle w:val="Emphasis"/>
          <w:rFonts w:cs="Calibri"/>
          <w:color w:val="auto"/>
        </w:rPr>
        <w:t>Източник: НСИ</w:t>
      </w:r>
    </w:p>
    <w:p w:rsidR="00294D88" w:rsidRDefault="00294D88" w:rsidP="005D1A5B"/>
    <w:p w:rsidR="00294D88" w:rsidRPr="00D62124" w:rsidRDefault="00294D88" w:rsidP="00D62124">
      <w:pPr>
        <w:tabs>
          <w:tab w:val="left" w:pos="5100"/>
        </w:tabs>
        <w:rPr>
          <w:lang w:val="en-US"/>
        </w:rPr>
      </w:pPr>
    </w:p>
    <w:sectPr w:rsidR="00294D88" w:rsidRPr="00D62124" w:rsidSect="0019335C">
      <w:headerReference w:type="default" r:id="rId13"/>
      <w:footerReference w:type="default" r:id="rId14"/>
      <w:pgSz w:w="11906" w:h="16838"/>
      <w:pgMar w:top="1417" w:right="1417" w:bottom="1417" w:left="1417" w:header="708" w:footer="4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E4B" w:rsidRDefault="00531E4B" w:rsidP="00CD1C28">
      <w:r>
        <w:separator/>
      </w:r>
    </w:p>
  </w:endnote>
  <w:endnote w:type="continuationSeparator" w:id="0">
    <w:p w:rsidR="00531E4B" w:rsidRDefault="00531E4B" w:rsidP="00CD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ED6" w:rsidRPr="005F30B6" w:rsidRDefault="00195ED6" w:rsidP="0019335C">
    <w:pPr>
      <w:pStyle w:val="Footer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>СТР</w:t>
    </w:r>
    <w:r w:rsidRPr="005F30B6">
      <w:rPr>
        <w:color w:val="7F7F7F"/>
        <w:sz w:val="20"/>
        <w:szCs w:val="20"/>
      </w:rPr>
      <w:t xml:space="preserve">. </w:t>
    </w:r>
    <w:r w:rsidRPr="005F30B6">
      <w:rPr>
        <w:color w:val="7F7F7F"/>
        <w:sz w:val="20"/>
        <w:szCs w:val="20"/>
      </w:rPr>
      <w:fldChar w:fldCharType="begin"/>
    </w:r>
    <w:r w:rsidRPr="005F30B6">
      <w:rPr>
        <w:color w:val="7F7F7F"/>
        <w:sz w:val="20"/>
        <w:szCs w:val="20"/>
      </w:rPr>
      <w:instrText xml:space="preserve"> PAGE    \* MERGEFORMAT </w:instrText>
    </w:r>
    <w:r w:rsidRPr="005F30B6">
      <w:rPr>
        <w:color w:val="7F7F7F"/>
        <w:sz w:val="20"/>
        <w:szCs w:val="20"/>
      </w:rPr>
      <w:fldChar w:fldCharType="separate"/>
    </w:r>
    <w:r w:rsidR="001E3C9E">
      <w:rPr>
        <w:noProof/>
        <w:color w:val="7F7F7F"/>
        <w:sz w:val="20"/>
        <w:szCs w:val="20"/>
      </w:rPr>
      <w:t>6</w:t>
    </w:r>
    <w:r w:rsidRPr="005F30B6">
      <w:rPr>
        <w:color w:val="7F7F7F"/>
        <w:sz w:val="20"/>
        <w:szCs w:val="20"/>
      </w:rPr>
      <w:fldChar w:fldCharType="end"/>
    </w:r>
  </w:p>
  <w:p w:rsidR="00195ED6" w:rsidRDefault="00195E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E4B" w:rsidRDefault="00531E4B" w:rsidP="00CD1C28">
      <w:r>
        <w:separator/>
      </w:r>
    </w:p>
  </w:footnote>
  <w:footnote w:type="continuationSeparator" w:id="0">
    <w:p w:rsidR="00531E4B" w:rsidRDefault="00531E4B" w:rsidP="00CD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602" w:type="dxa"/>
      <w:tblInd w:w="5041" w:type="dxa"/>
      <w:tblLook w:val="00A0" w:firstRow="1" w:lastRow="0" w:firstColumn="1" w:lastColumn="0" w:noHBand="0" w:noVBand="0"/>
    </w:tblPr>
    <w:tblGrid>
      <w:gridCol w:w="1056"/>
      <w:gridCol w:w="3546"/>
    </w:tblGrid>
    <w:tr w:rsidR="00195ED6" w:rsidTr="006D73EB">
      <w:tc>
        <w:tcPr>
          <w:tcW w:w="1056" w:type="dxa"/>
          <w:vAlign w:val="center"/>
        </w:tcPr>
        <w:p w:rsidR="00195ED6" w:rsidRPr="006D73EB" w:rsidRDefault="00195ED6" w:rsidP="006D73EB">
          <w:pPr>
            <w:pStyle w:val="Header"/>
            <w:jc w:val="right"/>
          </w:pPr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-3864610</wp:posOffset>
                    </wp:positionH>
                    <wp:positionV relativeFrom="paragraph">
                      <wp:posOffset>-233045</wp:posOffset>
                    </wp:positionV>
                    <wp:extent cx="7052945" cy="10201275"/>
                    <wp:effectExtent l="0" t="0" r="33655" b="47625"/>
                    <wp:wrapNone/>
                    <wp:docPr id="3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52945" cy="102012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>
                              <a:outerShdw dist="38100" dir="2700000" algn="tl" rotWithShape="0">
                                <a:srgbClr val="000000">
                                  <a:alpha val="39999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6709A27" id="Rectangle 2" o:spid="_x0000_s1026" style="position:absolute;margin-left:-304.3pt;margin-top:-18.35pt;width:555.35pt;height:80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" stroked="f" strokeweight="2pt">
                    <v:shadow on="t" color="black" opacity="26213f" origin="-.5,-.5" offset=".74836mm,.74836mm"/>
                  </v:rect>
                </w:pict>
              </mc:Fallback>
            </mc:AlternateContent>
          </w:r>
          <w:r w:rsidRPr="0085617C">
            <w:rPr>
              <w:noProof/>
              <w:lang w:eastAsia="bg-BG"/>
            </w:rPr>
            <w:drawing>
              <wp:inline distT="0" distB="0" distL="0" distR="0">
                <wp:extent cx="501650" cy="431800"/>
                <wp:effectExtent l="0" t="0" r="0" b="635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9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6" w:type="dxa"/>
          <w:vAlign w:val="center"/>
        </w:tcPr>
        <w:p w:rsidR="00195ED6" w:rsidRPr="006D73EB" w:rsidRDefault="00195ED6" w:rsidP="006D73EB">
          <w:pPr>
            <w:pStyle w:val="Header"/>
            <w:jc w:val="right"/>
          </w:pPr>
          <w:r w:rsidRPr="0085617C">
            <w:rPr>
              <w:noProof/>
              <w:lang w:eastAsia="bg-BG"/>
            </w:rPr>
            <w:drawing>
              <wp:inline distT="0" distB="0" distL="0" distR="0">
                <wp:extent cx="2057400" cy="5270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485" t="13333" b="187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ED6" w:rsidRDefault="00195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26"/>
    <w:multiLevelType w:val="multilevel"/>
    <w:tmpl w:val="C79E735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9D"/>
    <w:rsid w:val="00001B92"/>
    <w:rsid w:val="0000709A"/>
    <w:rsid w:val="0001365A"/>
    <w:rsid w:val="00014197"/>
    <w:rsid w:val="0002370A"/>
    <w:rsid w:val="00026B30"/>
    <w:rsid w:val="000304AA"/>
    <w:rsid w:val="000433A5"/>
    <w:rsid w:val="00045A02"/>
    <w:rsid w:val="000478D0"/>
    <w:rsid w:val="00050386"/>
    <w:rsid w:val="00051AD5"/>
    <w:rsid w:val="00061F69"/>
    <w:rsid w:val="000626B8"/>
    <w:rsid w:val="00067075"/>
    <w:rsid w:val="00081C61"/>
    <w:rsid w:val="00091FFD"/>
    <w:rsid w:val="00097974"/>
    <w:rsid w:val="000A3C94"/>
    <w:rsid w:val="000B0D1C"/>
    <w:rsid w:val="000B0E8C"/>
    <w:rsid w:val="000B2FB8"/>
    <w:rsid w:val="000C4774"/>
    <w:rsid w:val="000D0185"/>
    <w:rsid w:val="000D1B7B"/>
    <w:rsid w:val="000D232D"/>
    <w:rsid w:val="000D5425"/>
    <w:rsid w:val="000D62BF"/>
    <w:rsid w:val="000E23F6"/>
    <w:rsid w:val="000F0329"/>
    <w:rsid w:val="001031A2"/>
    <w:rsid w:val="001032C3"/>
    <w:rsid w:val="00107722"/>
    <w:rsid w:val="00111FDC"/>
    <w:rsid w:val="00116319"/>
    <w:rsid w:val="00121B36"/>
    <w:rsid w:val="00132B9F"/>
    <w:rsid w:val="0013764C"/>
    <w:rsid w:val="001413BF"/>
    <w:rsid w:val="00150910"/>
    <w:rsid w:val="001513AF"/>
    <w:rsid w:val="00151932"/>
    <w:rsid w:val="00160BFB"/>
    <w:rsid w:val="00174763"/>
    <w:rsid w:val="001777AB"/>
    <w:rsid w:val="00180F0D"/>
    <w:rsid w:val="00181707"/>
    <w:rsid w:val="00183A23"/>
    <w:rsid w:val="00192D14"/>
    <w:rsid w:val="0019335C"/>
    <w:rsid w:val="00195ED6"/>
    <w:rsid w:val="00196BD2"/>
    <w:rsid w:val="00197E88"/>
    <w:rsid w:val="001A6C61"/>
    <w:rsid w:val="001B21A5"/>
    <w:rsid w:val="001B392E"/>
    <w:rsid w:val="001B4233"/>
    <w:rsid w:val="001B4EE4"/>
    <w:rsid w:val="001C786A"/>
    <w:rsid w:val="001C7AC1"/>
    <w:rsid w:val="001D0640"/>
    <w:rsid w:val="001D4B5D"/>
    <w:rsid w:val="001E3C9E"/>
    <w:rsid w:val="001E6C53"/>
    <w:rsid w:val="001F22D4"/>
    <w:rsid w:val="001F3727"/>
    <w:rsid w:val="00210D61"/>
    <w:rsid w:val="002112E4"/>
    <w:rsid w:val="002127A7"/>
    <w:rsid w:val="00214B22"/>
    <w:rsid w:val="0021776A"/>
    <w:rsid w:val="00221479"/>
    <w:rsid w:val="00223F66"/>
    <w:rsid w:val="0023416C"/>
    <w:rsid w:val="00241C58"/>
    <w:rsid w:val="00242604"/>
    <w:rsid w:val="00242844"/>
    <w:rsid w:val="00246F13"/>
    <w:rsid w:val="00252782"/>
    <w:rsid w:val="00255893"/>
    <w:rsid w:val="00256C4B"/>
    <w:rsid w:val="00261126"/>
    <w:rsid w:val="00261225"/>
    <w:rsid w:val="00270AF1"/>
    <w:rsid w:val="00273715"/>
    <w:rsid w:val="00281930"/>
    <w:rsid w:val="00284D63"/>
    <w:rsid w:val="00285314"/>
    <w:rsid w:val="00290C39"/>
    <w:rsid w:val="00290D2A"/>
    <w:rsid w:val="0029123C"/>
    <w:rsid w:val="00294D88"/>
    <w:rsid w:val="002A2D16"/>
    <w:rsid w:val="002A400A"/>
    <w:rsid w:val="002A4A96"/>
    <w:rsid w:val="002A717A"/>
    <w:rsid w:val="002A7EC6"/>
    <w:rsid w:val="002C2F64"/>
    <w:rsid w:val="002C338E"/>
    <w:rsid w:val="002C3D3B"/>
    <w:rsid w:val="002C680D"/>
    <w:rsid w:val="002D3120"/>
    <w:rsid w:val="002D5572"/>
    <w:rsid w:val="002E785D"/>
    <w:rsid w:val="002F3455"/>
    <w:rsid w:val="00301F8A"/>
    <w:rsid w:val="00303CF1"/>
    <w:rsid w:val="00305D90"/>
    <w:rsid w:val="0030622A"/>
    <w:rsid w:val="0031622F"/>
    <w:rsid w:val="003171E2"/>
    <w:rsid w:val="00317439"/>
    <w:rsid w:val="00325D19"/>
    <w:rsid w:val="00327AFA"/>
    <w:rsid w:val="003334C5"/>
    <w:rsid w:val="00337669"/>
    <w:rsid w:val="00347603"/>
    <w:rsid w:val="0035264A"/>
    <w:rsid w:val="0035480C"/>
    <w:rsid w:val="00361F96"/>
    <w:rsid w:val="00374CD1"/>
    <w:rsid w:val="00390C3D"/>
    <w:rsid w:val="00394A63"/>
    <w:rsid w:val="00396FF1"/>
    <w:rsid w:val="003A4E38"/>
    <w:rsid w:val="003A5D4F"/>
    <w:rsid w:val="003B04A9"/>
    <w:rsid w:val="003B7FC6"/>
    <w:rsid w:val="003C737A"/>
    <w:rsid w:val="003E0B43"/>
    <w:rsid w:val="003E4758"/>
    <w:rsid w:val="003E5AE0"/>
    <w:rsid w:val="004056CC"/>
    <w:rsid w:val="00406C0F"/>
    <w:rsid w:val="00415664"/>
    <w:rsid w:val="004168EB"/>
    <w:rsid w:val="00421AC8"/>
    <w:rsid w:val="00421F26"/>
    <w:rsid w:val="00423BE4"/>
    <w:rsid w:val="004253EA"/>
    <w:rsid w:val="00425CE1"/>
    <w:rsid w:val="00435661"/>
    <w:rsid w:val="00441BA6"/>
    <w:rsid w:val="00444632"/>
    <w:rsid w:val="00446C9C"/>
    <w:rsid w:val="00460417"/>
    <w:rsid w:val="00461424"/>
    <w:rsid w:val="00466CC2"/>
    <w:rsid w:val="00466F9C"/>
    <w:rsid w:val="00470D66"/>
    <w:rsid w:val="00473DA6"/>
    <w:rsid w:val="00480307"/>
    <w:rsid w:val="00482458"/>
    <w:rsid w:val="00486DA8"/>
    <w:rsid w:val="004902A6"/>
    <w:rsid w:val="004906F5"/>
    <w:rsid w:val="00493CBD"/>
    <w:rsid w:val="004A0037"/>
    <w:rsid w:val="004A4D15"/>
    <w:rsid w:val="004C226E"/>
    <w:rsid w:val="004C34A0"/>
    <w:rsid w:val="004D3D87"/>
    <w:rsid w:val="004D7211"/>
    <w:rsid w:val="004D7AAC"/>
    <w:rsid w:val="004E05CF"/>
    <w:rsid w:val="004E1416"/>
    <w:rsid w:val="004F75EA"/>
    <w:rsid w:val="004F7FDC"/>
    <w:rsid w:val="005002E4"/>
    <w:rsid w:val="00503453"/>
    <w:rsid w:val="00505D15"/>
    <w:rsid w:val="00520948"/>
    <w:rsid w:val="005255B8"/>
    <w:rsid w:val="00531620"/>
    <w:rsid w:val="00531E4B"/>
    <w:rsid w:val="0053651C"/>
    <w:rsid w:val="0053726E"/>
    <w:rsid w:val="00541C15"/>
    <w:rsid w:val="00545135"/>
    <w:rsid w:val="00547C5F"/>
    <w:rsid w:val="00553FB9"/>
    <w:rsid w:val="005545B9"/>
    <w:rsid w:val="00561C2C"/>
    <w:rsid w:val="00565558"/>
    <w:rsid w:val="00567FF0"/>
    <w:rsid w:val="0057128C"/>
    <w:rsid w:val="005744B3"/>
    <w:rsid w:val="00580EA1"/>
    <w:rsid w:val="005860EA"/>
    <w:rsid w:val="00593BAF"/>
    <w:rsid w:val="005B527B"/>
    <w:rsid w:val="005C0D9D"/>
    <w:rsid w:val="005C11A5"/>
    <w:rsid w:val="005D0C7F"/>
    <w:rsid w:val="005D1A5B"/>
    <w:rsid w:val="005D64C1"/>
    <w:rsid w:val="005E1E7F"/>
    <w:rsid w:val="005E2556"/>
    <w:rsid w:val="005E2CD7"/>
    <w:rsid w:val="005E616B"/>
    <w:rsid w:val="005F1E11"/>
    <w:rsid w:val="005F30B6"/>
    <w:rsid w:val="005F48BD"/>
    <w:rsid w:val="00600031"/>
    <w:rsid w:val="006026C1"/>
    <w:rsid w:val="00604E8D"/>
    <w:rsid w:val="006055BD"/>
    <w:rsid w:val="00610DEA"/>
    <w:rsid w:val="00627324"/>
    <w:rsid w:val="0065496D"/>
    <w:rsid w:val="006578E7"/>
    <w:rsid w:val="0066093E"/>
    <w:rsid w:val="00662155"/>
    <w:rsid w:val="00667B4F"/>
    <w:rsid w:val="006714D1"/>
    <w:rsid w:val="006715D4"/>
    <w:rsid w:val="00671A4C"/>
    <w:rsid w:val="00672221"/>
    <w:rsid w:val="0067280F"/>
    <w:rsid w:val="00672FB2"/>
    <w:rsid w:val="006732AC"/>
    <w:rsid w:val="00675844"/>
    <w:rsid w:val="00685654"/>
    <w:rsid w:val="00691AC3"/>
    <w:rsid w:val="00696650"/>
    <w:rsid w:val="006B31F1"/>
    <w:rsid w:val="006B47CF"/>
    <w:rsid w:val="006C1DDB"/>
    <w:rsid w:val="006C25B6"/>
    <w:rsid w:val="006C4791"/>
    <w:rsid w:val="006C4AFD"/>
    <w:rsid w:val="006D54F9"/>
    <w:rsid w:val="006D73EB"/>
    <w:rsid w:val="006E328A"/>
    <w:rsid w:val="006E7189"/>
    <w:rsid w:val="006E7FEA"/>
    <w:rsid w:val="006F0098"/>
    <w:rsid w:val="006F2799"/>
    <w:rsid w:val="006F366F"/>
    <w:rsid w:val="006F66C0"/>
    <w:rsid w:val="006F68B7"/>
    <w:rsid w:val="007003DA"/>
    <w:rsid w:val="00717D8E"/>
    <w:rsid w:val="00724410"/>
    <w:rsid w:val="00726994"/>
    <w:rsid w:val="00726A54"/>
    <w:rsid w:val="00727031"/>
    <w:rsid w:val="0073004B"/>
    <w:rsid w:val="00732964"/>
    <w:rsid w:val="007330C1"/>
    <w:rsid w:val="007376AF"/>
    <w:rsid w:val="00741DA1"/>
    <w:rsid w:val="00752011"/>
    <w:rsid w:val="0075438A"/>
    <w:rsid w:val="00755FF8"/>
    <w:rsid w:val="00756748"/>
    <w:rsid w:val="007619A7"/>
    <w:rsid w:val="0076234F"/>
    <w:rsid w:val="00766D3F"/>
    <w:rsid w:val="00777246"/>
    <w:rsid w:val="0078115C"/>
    <w:rsid w:val="007A2C4E"/>
    <w:rsid w:val="007B13A6"/>
    <w:rsid w:val="007B52B0"/>
    <w:rsid w:val="007B5B14"/>
    <w:rsid w:val="007C0A9E"/>
    <w:rsid w:val="007C28B3"/>
    <w:rsid w:val="007D09FC"/>
    <w:rsid w:val="007D6C9D"/>
    <w:rsid w:val="007E068E"/>
    <w:rsid w:val="007E1ECE"/>
    <w:rsid w:val="007E26E6"/>
    <w:rsid w:val="007E6112"/>
    <w:rsid w:val="007F2B52"/>
    <w:rsid w:val="007F433E"/>
    <w:rsid w:val="008009DF"/>
    <w:rsid w:val="008047FE"/>
    <w:rsid w:val="00804FEE"/>
    <w:rsid w:val="008115C5"/>
    <w:rsid w:val="0081188A"/>
    <w:rsid w:val="0081620D"/>
    <w:rsid w:val="00826898"/>
    <w:rsid w:val="00833689"/>
    <w:rsid w:val="008509AE"/>
    <w:rsid w:val="008518C9"/>
    <w:rsid w:val="008636A7"/>
    <w:rsid w:val="00865EB1"/>
    <w:rsid w:val="00866F6E"/>
    <w:rsid w:val="00872741"/>
    <w:rsid w:val="00872AB7"/>
    <w:rsid w:val="00875242"/>
    <w:rsid w:val="00876F7B"/>
    <w:rsid w:val="008935BB"/>
    <w:rsid w:val="00897EF8"/>
    <w:rsid w:val="008A0587"/>
    <w:rsid w:val="008A1530"/>
    <w:rsid w:val="008A27B4"/>
    <w:rsid w:val="008A5451"/>
    <w:rsid w:val="008B06DB"/>
    <w:rsid w:val="008B0B0E"/>
    <w:rsid w:val="008C03BF"/>
    <w:rsid w:val="008C0996"/>
    <w:rsid w:val="008C16ED"/>
    <w:rsid w:val="008C3705"/>
    <w:rsid w:val="008C4127"/>
    <w:rsid w:val="008C64CC"/>
    <w:rsid w:val="008C74A9"/>
    <w:rsid w:val="008D1200"/>
    <w:rsid w:val="008D3E79"/>
    <w:rsid w:val="008D4099"/>
    <w:rsid w:val="008D463E"/>
    <w:rsid w:val="008D5D8B"/>
    <w:rsid w:val="008E0B3C"/>
    <w:rsid w:val="008E4C17"/>
    <w:rsid w:val="008F2803"/>
    <w:rsid w:val="008F38F9"/>
    <w:rsid w:val="00902DFF"/>
    <w:rsid w:val="00914829"/>
    <w:rsid w:val="00932C0D"/>
    <w:rsid w:val="00934A9D"/>
    <w:rsid w:val="0094691A"/>
    <w:rsid w:val="0095249D"/>
    <w:rsid w:val="00957863"/>
    <w:rsid w:val="00961089"/>
    <w:rsid w:val="009623FA"/>
    <w:rsid w:val="00975FF9"/>
    <w:rsid w:val="00981E0C"/>
    <w:rsid w:val="00981EF7"/>
    <w:rsid w:val="00984EBB"/>
    <w:rsid w:val="00986D02"/>
    <w:rsid w:val="00994592"/>
    <w:rsid w:val="009A0AAF"/>
    <w:rsid w:val="009A75F4"/>
    <w:rsid w:val="009B2C7E"/>
    <w:rsid w:val="009B38B2"/>
    <w:rsid w:val="009B4A61"/>
    <w:rsid w:val="009B5121"/>
    <w:rsid w:val="009C0556"/>
    <w:rsid w:val="009C2261"/>
    <w:rsid w:val="009C3B4F"/>
    <w:rsid w:val="009C4322"/>
    <w:rsid w:val="009D0A2D"/>
    <w:rsid w:val="009D12E9"/>
    <w:rsid w:val="009D4D93"/>
    <w:rsid w:val="009D6E25"/>
    <w:rsid w:val="009E10DE"/>
    <w:rsid w:val="009E7108"/>
    <w:rsid w:val="009F0B16"/>
    <w:rsid w:val="009F3EBE"/>
    <w:rsid w:val="009F768A"/>
    <w:rsid w:val="00A001A7"/>
    <w:rsid w:val="00A00D6D"/>
    <w:rsid w:val="00A015BA"/>
    <w:rsid w:val="00A04B7F"/>
    <w:rsid w:val="00A131A7"/>
    <w:rsid w:val="00A134BA"/>
    <w:rsid w:val="00A138CF"/>
    <w:rsid w:val="00A15598"/>
    <w:rsid w:val="00A27A53"/>
    <w:rsid w:val="00A31299"/>
    <w:rsid w:val="00A32A45"/>
    <w:rsid w:val="00A37BD0"/>
    <w:rsid w:val="00A450DE"/>
    <w:rsid w:val="00A5045B"/>
    <w:rsid w:val="00A50668"/>
    <w:rsid w:val="00A51ABC"/>
    <w:rsid w:val="00A56998"/>
    <w:rsid w:val="00A607C4"/>
    <w:rsid w:val="00A60FCA"/>
    <w:rsid w:val="00A61DB6"/>
    <w:rsid w:val="00A61F63"/>
    <w:rsid w:val="00A62DF5"/>
    <w:rsid w:val="00A64643"/>
    <w:rsid w:val="00A70F2D"/>
    <w:rsid w:val="00A719EC"/>
    <w:rsid w:val="00A80618"/>
    <w:rsid w:val="00A85A8B"/>
    <w:rsid w:val="00A90CBF"/>
    <w:rsid w:val="00A9138F"/>
    <w:rsid w:val="00A91BC3"/>
    <w:rsid w:val="00A92D87"/>
    <w:rsid w:val="00A942AC"/>
    <w:rsid w:val="00A96FFB"/>
    <w:rsid w:val="00AA463E"/>
    <w:rsid w:val="00AA585E"/>
    <w:rsid w:val="00AA6AA7"/>
    <w:rsid w:val="00AB33F1"/>
    <w:rsid w:val="00AB3F03"/>
    <w:rsid w:val="00AB424F"/>
    <w:rsid w:val="00AB4543"/>
    <w:rsid w:val="00AB5C9D"/>
    <w:rsid w:val="00AD077E"/>
    <w:rsid w:val="00AD1856"/>
    <w:rsid w:val="00AD4190"/>
    <w:rsid w:val="00AD4678"/>
    <w:rsid w:val="00AF462B"/>
    <w:rsid w:val="00AF48FA"/>
    <w:rsid w:val="00AF4924"/>
    <w:rsid w:val="00AF610B"/>
    <w:rsid w:val="00AF646E"/>
    <w:rsid w:val="00B01B8C"/>
    <w:rsid w:val="00B02A92"/>
    <w:rsid w:val="00B06C26"/>
    <w:rsid w:val="00B120F3"/>
    <w:rsid w:val="00B12B05"/>
    <w:rsid w:val="00B21AD1"/>
    <w:rsid w:val="00B237EB"/>
    <w:rsid w:val="00B266BF"/>
    <w:rsid w:val="00B34E3D"/>
    <w:rsid w:val="00B34E4E"/>
    <w:rsid w:val="00B5474B"/>
    <w:rsid w:val="00B54D17"/>
    <w:rsid w:val="00B61853"/>
    <w:rsid w:val="00B657E9"/>
    <w:rsid w:val="00B72752"/>
    <w:rsid w:val="00B75CDE"/>
    <w:rsid w:val="00B807D0"/>
    <w:rsid w:val="00B8185A"/>
    <w:rsid w:val="00B8196F"/>
    <w:rsid w:val="00B826F0"/>
    <w:rsid w:val="00B85A6F"/>
    <w:rsid w:val="00B9551D"/>
    <w:rsid w:val="00BA0056"/>
    <w:rsid w:val="00BA12B6"/>
    <w:rsid w:val="00BA334A"/>
    <w:rsid w:val="00BB1C2E"/>
    <w:rsid w:val="00BB3B61"/>
    <w:rsid w:val="00BC4069"/>
    <w:rsid w:val="00BC4F6B"/>
    <w:rsid w:val="00BD53AE"/>
    <w:rsid w:val="00C0122F"/>
    <w:rsid w:val="00C029D3"/>
    <w:rsid w:val="00C051BD"/>
    <w:rsid w:val="00C07889"/>
    <w:rsid w:val="00C1525C"/>
    <w:rsid w:val="00C17EF9"/>
    <w:rsid w:val="00C20AA1"/>
    <w:rsid w:val="00C23EE2"/>
    <w:rsid w:val="00C27DF8"/>
    <w:rsid w:val="00C31C13"/>
    <w:rsid w:val="00C3331F"/>
    <w:rsid w:val="00C353C1"/>
    <w:rsid w:val="00C35EEB"/>
    <w:rsid w:val="00C36DC9"/>
    <w:rsid w:val="00C409C7"/>
    <w:rsid w:val="00C41A28"/>
    <w:rsid w:val="00C445AF"/>
    <w:rsid w:val="00C51576"/>
    <w:rsid w:val="00C53DA5"/>
    <w:rsid w:val="00C5692B"/>
    <w:rsid w:val="00C628E2"/>
    <w:rsid w:val="00C63DFE"/>
    <w:rsid w:val="00C70E42"/>
    <w:rsid w:val="00C72376"/>
    <w:rsid w:val="00C8260E"/>
    <w:rsid w:val="00C8579A"/>
    <w:rsid w:val="00C85BC8"/>
    <w:rsid w:val="00C85FB9"/>
    <w:rsid w:val="00C902A0"/>
    <w:rsid w:val="00CA13A9"/>
    <w:rsid w:val="00CA203D"/>
    <w:rsid w:val="00CA2972"/>
    <w:rsid w:val="00CA41DF"/>
    <w:rsid w:val="00CB31E1"/>
    <w:rsid w:val="00CC1179"/>
    <w:rsid w:val="00CC531D"/>
    <w:rsid w:val="00CC7EDB"/>
    <w:rsid w:val="00CD0489"/>
    <w:rsid w:val="00CD1C28"/>
    <w:rsid w:val="00CD1FA5"/>
    <w:rsid w:val="00CD2267"/>
    <w:rsid w:val="00CD50A1"/>
    <w:rsid w:val="00CD51B1"/>
    <w:rsid w:val="00CD5920"/>
    <w:rsid w:val="00CD5DF4"/>
    <w:rsid w:val="00CE0DC7"/>
    <w:rsid w:val="00CE0F6F"/>
    <w:rsid w:val="00CF04DC"/>
    <w:rsid w:val="00CF3925"/>
    <w:rsid w:val="00D01509"/>
    <w:rsid w:val="00D111D8"/>
    <w:rsid w:val="00D116A8"/>
    <w:rsid w:val="00D13933"/>
    <w:rsid w:val="00D140A0"/>
    <w:rsid w:val="00D1567B"/>
    <w:rsid w:val="00D16A3E"/>
    <w:rsid w:val="00D20C6D"/>
    <w:rsid w:val="00D21392"/>
    <w:rsid w:val="00D23DC3"/>
    <w:rsid w:val="00D241E0"/>
    <w:rsid w:val="00D24743"/>
    <w:rsid w:val="00D41DD8"/>
    <w:rsid w:val="00D438C5"/>
    <w:rsid w:val="00D46213"/>
    <w:rsid w:val="00D5008D"/>
    <w:rsid w:val="00D51901"/>
    <w:rsid w:val="00D5419C"/>
    <w:rsid w:val="00D579A6"/>
    <w:rsid w:val="00D62124"/>
    <w:rsid w:val="00D645F3"/>
    <w:rsid w:val="00D64A40"/>
    <w:rsid w:val="00D64CE7"/>
    <w:rsid w:val="00D71C5A"/>
    <w:rsid w:val="00D73147"/>
    <w:rsid w:val="00D736DE"/>
    <w:rsid w:val="00D76F66"/>
    <w:rsid w:val="00D843F3"/>
    <w:rsid w:val="00D845AC"/>
    <w:rsid w:val="00D868B4"/>
    <w:rsid w:val="00D87EAE"/>
    <w:rsid w:val="00D923C6"/>
    <w:rsid w:val="00DA623A"/>
    <w:rsid w:val="00DA6521"/>
    <w:rsid w:val="00DB2F7A"/>
    <w:rsid w:val="00DB44EF"/>
    <w:rsid w:val="00DB6027"/>
    <w:rsid w:val="00DB7DA1"/>
    <w:rsid w:val="00DC0B6B"/>
    <w:rsid w:val="00DC1943"/>
    <w:rsid w:val="00DC6FC0"/>
    <w:rsid w:val="00DD2210"/>
    <w:rsid w:val="00DD2D28"/>
    <w:rsid w:val="00DD3F0A"/>
    <w:rsid w:val="00DD5548"/>
    <w:rsid w:val="00DE2A32"/>
    <w:rsid w:val="00DE4C19"/>
    <w:rsid w:val="00DE4DAA"/>
    <w:rsid w:val="00DF31C5"/>
    <w:rsid w:val="00E048EB"/>
    <w:rsid w:val="00E06105"/>
    <w:rsid w:val="00E12591"/>
    <w:rsid w:val="00E14821"/>
    <w:rsid w:val="00E152C0"/>
    <w:rsid w:val="00E235B1"/>
    <w:rsid w:val="00E236B0"/>
    <w:rsid w:val="00E3280C"/>
    <w:rsid w:val="00E35903"/>
    <w:rsid w:val="00E37BAA"/>
    <w:rsid w:val="00E452DA"/>
    <w:rsid w:val="00E46150"/>
    <w:rsid w:val="00E46745"/>
    <w:rsid w:val="00E516F7"/>
    <w:rsid w:val="00E528AE"/>
    <w:rsid w:val="00E624C6"/>
    <w:rsid w:val="00E64B96"/>
    <w:rsid w:val="00E65DB9"/>
    <w:rsid w:val="00E67058"/>
    <w:rsid w:val="00E70C32"/>
    <w:rsid w:val="00E72166"/>
    <w:rsid w:val="00E81D5D"/>
    <w:rsid w:val="00EA0B81"/>
    <w:rsid w:val="00EA4A5D"/>
    <w:rsid w:val="00EB493E"/>
    <w:rsid w:val="00EB7ECF"/>
    <w:rsid w:val="00EC474E"/>
    <w:rsid w:val="00EC4B42"/>
    <w:rsid w:val="00ED46A7"/>
    <w:rsid w:val="00EE796D"/>
    <w:rsid w:val="00EF5164"/>
    <w:rsid w:val="00EF69CD"/>
    <w:rsid w:val="00EF7CAF"/>
    <w:rsid w:val="00F01195"/>
    <w:rsid w:val="00F019E7"/>
    <w:rsid w:val="00F16635"/>
    <w:rsid w:val="00F2326A"/>
    <w:rsid w:val="00F26960"/>
    <w:rsid w:val="00F30B9D"/>
    <w:rsid w:val="00F33AA3"/>
    <w:rsid w:val="00F41C66"/>
    <w:rsid w:val="00F50389"/>
    <w:rsid w:val="00F52617"/>
    <w:rsid w:val="00F52670"/>
    <w:rsid w:val="00F628B5"/>
    <w:rsid w:val="00F67AA6"/>
    <w:rsid w:val="00F710FA"/>
    <w:rsid w:val="00F93943"/>
    <w:rsid w:val="00F95F86"/>
    <w:rsid w:val="00F96008"/>
    <w:rsid w:val="00FA22B8"/>
    <w:rsid w:val="00FA38D3"/>
    <w:rsid w:val="00FA7DD0"/>
    <w:rsid w:val="00FB27EF"/>
    <w:rsid w:val="00FB3964"/>
    <w:rsid w:val="00FB7A18"/>
    <w:rsid w:val="00FC084A"/>
    <w:rsid w:val="00FC09CB"/>
    <w:rsid w:val="00FD10DB"/>
    <w:rsid w:val="00FD209F"/>
    <w:rsid w:val="00FD7E5C"/>
    <w:rsid w:val="00FE3FE0"/>
    <w:rsid w:val="00FF2D1B"/>
    <w:rsid w:val="00FF463E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EE3FA1-C228-4DE3-A549-B7649555A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0E"/>
    <w:rPr>
      <w:rFonts w:cs="Calibri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F30B6"/>
    <w:pPr>
      <w:keepNext/>
      <w:keepLines/>
      <w:numPr>
        <w:numId w:val="1"/>
      </w:numPr>
      <w:spacing w:before="240" w:after="100" w:afterAutospacing="1" w:line="257" w:lineRule="auto"/>
      <w:ind w:left="426" w:hanging="426"/>
      <w:outlineLvl w:val="0"/>
    </w:pPr>
    <w:rPr>
      <w:rFonts w:ascii="Cambria" w:eastAsia="Times New Roman" w:hAnsi="Cambria" w:cs="Times New Roman"/>
      <w:b/>
      <w:bCs/>
      <w:color w:val="14683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260E"/>
    <w:pPr>
      <w:keepNext/>
      <w:ind w:right="2976"/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260E"/>
    <w:pPr>
      <w:keepNext/>
      <w:ind w:right="2976"/>
      <w:jc w:val="right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F30B6"/>
    <w:rPr>
      <w:rFonts w:ascii="Cambria" w:hAnsi="Cambria" w:cs="Times New Roman"/>
      <w:b/>
      <w:bCs/>
      <w:color w:val="146834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260E"/>
    <w:rPr>
      <w:rFonts w:ascii="Calibri" w:hAnsi="Calibri" w:cs="Calibri"/>
      <w:color w:val="000000"/>
      <w:sz w:val="20"/>
    </w:rPr>
  </w:style>
  <w:style w:type="character" w:customStyle="1" w:styleId="Heading3Char">
    <w:name w:val="Heading 3 Char"/>
    <w:link w:val="Heading3"/>
    <w:uiPriority w:val="99"/>
    <w:locked/>
    <w:rsid w:val="00C8260E"/>
    <w:rPr>
      <w:rFonts w:ascii="Calibri" w:hAnsi="Calibri" w:cs="Calibri"/>
      <w:color w:val="000000"/>
      <w:sz w:val="20"/>
    </w:rPr>
  </w:style>
  <w:style w:type="paragraph" w:styleId="Header">
    <w:name w:val="header"/>
    <w:basedOn w:val="Normal"/>
    <w:link w:val="Head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CD1C2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C2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CD1C2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D1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1C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D1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qFormat/>
    <w:rsid w:val="0019335C"/>
    <w:pPr>
      <w:spacing w:after="360"/>
      <w:contextualSpacing/>
    </w:pPr>
    <w:rPr>
      <w:rFonts w:ascii="Cambria" w:eastAsia="Times New Roman" w:hAnsi="Cambria" w:cs="Times New Roman"/>
      <w:b/>
      <w:color w:val="090D1D"/>
      <w:spacing w:val="5"/>
      <w:kern w:val="28"/>
      <w:sz w:val="36"/>
      <w:szCs w:val="52"/>
      <w:lang w:val="ru-RU"/>
    </w:rPr>
  </w:style>
  <w:style w:type="character" w:customStyle="1" w:styleId="TitleChar">
    <w:name w:val="Title Char"/>
    <w:link w:val="Title"/>
    <w:uiPriority w:val="99"/>
    <w:locked/>
    <w:rsid w:val="0019335C"/>
    <w:rPr>
      <w:rFonts w:ascii="Cambria" w:hAnsi="Cambria" w:cs="Times New Roman"/>
      <w:b/>
      <w:color w:val="090D1D"/>
      <w:spacing w:val="5"/>
      <w:kern w:val="28"/>
      <w:sz w:val="52"/>
      <w:szCs w:val="52"/>
      <w:lang w:val="ru-RU"/>
    </w:rPr>
  </w:style>
  <w:style w:type="character" w:styleId="Strong">
    <w:name w:val="Strong"/>
    <w:uiPriority w:val="99"/>
    <w:qFormat/>
    <w:rsid w:val="005D1A5B"/>
    <w:rPr>
      <w:rFonts w:cs="Times New Roman"/>
      <w:b/>
      <w:bCs/>
    </w:rPr>
  </w:style>
  <w:style w:type="paragraph" w:styleId="Caption">
    <w:name w:val="caption"/>
    <w:basedOn w:val="Normal"/>
    <w:next w:val="Normal"/>
    <w:uiPriority w:val="99"/>
    <w:qFormat/>
    <w:rsid w:val="00C8260E"/>
    <w:pPr>
      <w:spacing w:before="240"/>
    </w:pPr>
    <w:rPr>
      <w:bCs/>
      <w:color w:val="146834"/>
      <w:sz w:val="20"/>
      <w:szCs w:val="18"/>
    </w:rPr>
  </w:style>
  <w:style w:type="table" w:customStyle="1" w:styleId="TableGrid0">
    <w:name w:val="TableGrid"/>
    <w:uiPriority w:val="99"/>
    <w:rsid w:val="000478D0"/>
    <w:rPr>
      <w:rFonts w:eastAsia="Times New Roman"/>
      <w:szCs w:val="22"/>
      <w:lang w:val="en-US" w:eastAsia="en-US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0478D0"/>
    <w:pPr>
      <w:jc w:val="both"/>
    </w:pPr>
    <w:rPr>
      <w:rFonts w:cs="Calibri"/>
      <w:color w:val="000000"/>
      <w:sz w:val="24"/>
      <w:szCs w:val="22"/>
      <w:lang w:eastAsia="en-US"/>
    </w:rPr>
  </w:style>
  <w:style w:type="character" w:styleId="Emphasis">
    <w:name w:val="Emphasis"/>
    <w:uiPriority w:val="99"/>
    <w:qFormat/>
    <w:rsid w:val="000A3C94"/>
    <w:rPr>
      <w:rFonts w:cs="Times New Roman"/>
      <w:i/>
      <w:iCs/>
      <w:sz w:val="20"/>
    </w:rPr>
  </w:style>
  <w:style w:type="table" w:styleId="LightGrid-Accent5">
    <w:name w:val="Light Grid Accent 5"/>
    <w:basedOn w:val="TableNormal"/>
    <w:uiPriority w:val="99"/>
    <w:rsid w:val="008A5451"/>
    <w:tblPr>
      <w:tblStyleRowBandSize w:val="1"/>
      <w:tblStyleColBandSize w:val="1"/>
      <w:tblBorders>
        <w:top w:val="single" w:sz="8" w:space="0" w:color="146834"/>
        <w:left w:val="single" w:sz="8" w:space="0" w:color="146834"/>
        <w:bottom w:val="single" w:sz="8" w:space="0" w:color="146834"/>
        <w:right w:val="single" w:sz="8" w:space="0" w:color="146834"/>
        <w:insideH w:val="single" w:sz="8" w:space="0" w:color="146834"/>
        <w:insideV w:val="single" w:sz="8" w:space="0" w:color="146834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1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146834"/>
          <w:left w:val="single" w:sz="8" w:space="0" w:color="146834"/>
          <w:bottom w:val="single" w:sz="8" w:space="0" w:color="146834"/>
          <w:right w:val="single" w:sz="8" w:space="0" w:color="146834"/>
          <w:insideH w:val="nil"/>
          <w:insideV w:val="single" w:sz="8" w:space="0" w:color="146834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</w:tcBorders>
        <w:shd w:val="clear" w:color="auto" w:fill="AEEFC7"/>
      </w:tcPr>
    </w:tblStylePr>
    <w:tblStylePr w:type="band1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  <w:shd w:val="clear" w:color="auto" w:fill="AEEFC7"/>
      </w:tcPr>
    </w:tblStylePr>
    <w:tblStylePr w:type="band2Horz">
      <w:rPr>
        <w:rFonts w:cs="Times New Roman"/>
      </w:rPr>
      <w:tblPr/>
      <w:tcPr>
        <w:tcBorders>
          <w:top w:val="single" w:sz="8" w:space="0" w:color="146834"/>
          <w:left w:val="single" w:sz="8" w:space="0" w:color="146834"/>
          <w:bottom w:val="single" w:sz="8" w:space="0" w:color="146834"/>
          <w:right w:val="single" w:sz="8" w:space="0" w:color="146834"/>
          <w:insideV w:val="single" w:sz="8" w:space="0" w:color="146834"/>
        </w:tcBorders>
      </w:tcPr>
    </w:tblStylePr>
  </w:style>
  <w:style w:type="paragraph" w:styleId="ListParagraph">
    <w:name w:val="List Paragraph"/>
    <w:basedOn w:val="Normal"/>
    <w:uiPriority w:val="99"/>
    <w:qFormat/>
    <w:rsid w:val="00662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BG_Tourism_Comunike_January_August_2019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5462962962962982E-2"/>
          <c:y val="0.11138613861386136"/>
          <c:w val="0.94907407407407485"/>
          <c:h val="0.733601703564732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pPr>
              <a:noFill/>
              <a:ln w="2543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Sheet1!$A$2:$A$10</c:f>
              <c:numCache>
                <c:formatCode>General</c:formatCode>
                <c:ptCount val="9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  <c:pt idx="7">
                  <c:v>2018</c:v>
                </c:pt>
                <c:pt idx="8">
                  <c:v>2019</c:v>
                </c:pt>
              </c:numCache>
            </c:numRef>
          </c:cat>
          <c:val>
            <c:numRef>
              <c:f>Sheet1!$B$2:$B$10</c:f>
              <c:numCache>
                <c:formatCode>#,##0</c:formatCode>
                <c:ptCount val="9"/>
                <c:pt idx="0">
                  <c:v>5813022</c:v>
                </c:pt>
                <c:pt idx="1">
                  <c:v>5985815</c:v>
                </c:pt>
                <c:pt idx="2">
                  <c:v>6315160</c:v>
                </c:pt>
                <c:pt idx="3">
                  <c:v>6665805</c:v>
                </c:pt>
                <c:pt idx="4">
                  <c:v>6449128</c:v>
                </c:pt>
                <c:pt idx="5">
                  <c:v>7461278</c:v>
                </c:pt>
                <c:pt idx="6">
                  <c:v>8026103</c:v>
                </c:pt>
                <c:pt idx="7">
                  <c:v>8423315</c:v>
                </c:pt>
                <c:pt idx="8">
                  <c:v>8390227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2-49A9-9524-3B4BB9591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55860016"/>
        <c:axId val="-55862192"/>
      </c:barChart>
      <c:catAx>
        <c:axId val="-5586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55862192"/>
        <c:crosses val="autoZero"/>
        <c:auto val="1"/>
        <c:lblAlgn val="ctr"/>
        <c:lblOffset val="100"/>
        <c:noMultiLvlLbl val="0"/>
      </c:catAx>
      <c:valAx>
        <c:axId val="-55862192"/>
        <c:scaling>
          <c:orientation val="minMax"/>
        </c:scaling>
        <c:delete val="1"/>
        <c:axPos val="l"/>
        <c:numFmt formatCode="#,##0" sourceLinked="1"/>
        <c:majorTickMark val="out"/>
        <c:minorTickMark val="none"/>
        <c:tickLblPos val="nextTo"/>
        <c:crossAx val="-55860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6542380095415392E-2"/>
          <c:y val="3.945445147293003E-2"/>
          <c:w val="0.50903981434008505"/>
          <c:h val="0.91363430910553312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115-43D9-867C-4C650899B052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115-43D9-867C-4C650899B052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9115-43D9-867C-4C650899B052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9115-43D9-867C-4C650899B052}"/>
              </c:ext>
            </c:extLst>
          </c:dPt>
          <c:dLbls>
            <c:spPr>
              <a:noFill/>
              <a:ln w="2543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1" b="0" i="0" u="none" strike="noStrike" baseline="0">
                    <a:solidFill>
                      <a:srgbClr val="FFFFFF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Почивка и ваканция</c:v>
                </c:pt>
                <c:pt idx="1">
                  <c:v>Гостуване</c:v>
                </c:pt>
                <c:pt idx="2">
                  <c:v>Бизнес</c:v>
                </c:pt>
                <c:pt idx="3">
                  <c:v>Други цели</c:v>
                </c:pt>
              </c:strCache>
            </c:strRef>
          </c:cat>
          <c:val>
            <c:numRef>
              <c:f>Sheet1!$B$2:$B$5</c:f>
              <c:numCache>
                <c:formatCode>0.0</c:formatCode>
                <c:ptCount val="4"/>
                <c:pt idx="0">
                  <c:v>64.661742763336434</c:v>
                </c:pt>
                <c:pt idx="1">
                  <c:v>6.4130446053485795</c:v>
                </c:pt>
                <c:pt idx="2">
                  <c:v>18.087234111782674</c:v>
                </c:pt>
                <c:pt idx="3">
                  <c:v>10.837978519532308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115-43D9-867C-4C650899B0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  <c:spPr>
        <a:noFill/>
        <a:ln w="25436">
          <a:noFill/>
        </a:ln>
      </c:spPr>
    </c:plotArea>
    <c:legend>
      <c:legendPos val="r"/>
      <c:layout>
        <c:manualLayout>
          <c:xMode val="edge"/>
          <c:yMode val="edge"/>
          <c:x val="0.6378637933416218"/>
          <c:y val="0.29303230461121271"/>
          <c:w val="0.33665589169774823"/>
          <c:h val="0.44347949397320591"/>
        </c:manualLayout>
      </c:layout>
      <c:overlay val="0"/>
      <c:txPr>
        <a:bodyPr/>
        <a:lstStyle/>
        <a:p>
          <a:pPr>
            <a:defRPr sz="846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zero"/>
    <c:showDLblsOverMax val="0"/>
  </c:chart>
  <c:txPr>
    <a:bodyPr/>
    <a:lstStyle/>
    <a:p>
      <a:pPr>
        <a:defRPr sz="100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7006207278144286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януари-октомври  2018 г.</c:v>
                </c:pt>
              </c:strCache>
            </c:strRef>
          </c:tx>
          <c:invertIfNegative val="0"/>
          <c:dLbls>
            <c:spPr>
              <a:noFill/>
              <a:ln w="25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ГЕРМАНИЯ</c:v>
                </c:pt>
                <c:pt idx="3">
                  <c:v>ТУРЦИЯ</c:v>
                </c:pt>
                <c:pt idx="4">
                  <c:v>СЕВЕРНА МАКЕДОНИЯ</c:v>
                </c:pt>
                <c:pt idx="5">
                  <c:v>УКРАЙНА</c:v>
                </c:pt>
                <c:pt idx="6">
                  <c:v>ВЕЛИКОБРИТАНИЯ</c:v>
                </c:pt>
                <c:pt idx="7">
                  <c:v>РУСИЯ</c:v>
                </c:pt>
                <c:pt idx="8">
                  <c:v>ПОЛША</c:v>
                </c:pt>
                <c:pt idx="9">
                  <c:v>СЪРБИЯ 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1218379</c:v>
                </c:pt>
                <c:pt idx="1">
                  <c:v>931894</c:v>
                </c:pt>
                <c:pt idx="2">
                  <c:v>822249</c:v>
                </c:pt>
                <c:pt idx="3">
                  <c:v>539532</c:v>
                </c:pt>
                <c:pt idx="4">
                  <c:v>476660</c:v>
                </c:pt>
                <c:pt idx="5">
                  <c:v>358573</c:v>
                </c:pt>
                <c:pt idx="6">
                  <c:v>366049</c:v>
                </c:pt>
                <c:pt idx="7">
                  <c:v>496018</c:v>
                </c:pt>
                <c:pt idx="8">
                  <c:v>411231</c:v>
                </c:pt>
                <c:pt idx="9">
                  <c:v>359496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4A-46A2-B18B-A7110F0982A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януари-октомври  2019 г.</c:v>
                </c:pt>
              </c:strCache>
            </c:strRef>
          </c:tx>
          <c:invertIfNegative val="0"/>
          <c:dLbls>
            <c:spPr>
              <a:noFill/>
              <a:ln w="25456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2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РУМЪНИЯ</c:v>
                </c:pt>
                <c:pt idx="1">
                  <c:v>ГЪРЦИЯ</c:v>
                </c:pt>
                <c:pt idx="2">
                  <c:v>ГЕРМАНИЯ</c:v>
                </c:pt>
                <c:pt idx="3">
                  <c:v>ТУРЦИЯ</c:v>
                </c:pt>
                <c:pt idx="4">
                  <c:v>СЕВЕРНА МАКЕДОНИЯ</c:v>
                </c:pt>
                <c:pt idx="5">
                  <c:v>УКРАЙНА</c:v>
                </c:pt>
                <c:pt idx="6">
                  <c:v>ВЕЛИКОБРИТАНИЯ</c:v>
                </c:pt>
                <c:pt idx="7">
                  <c:v>РУСИЯ</c:v>
                </c:pt>
                <c:pt idx="8">
                  <c:v>ПОЛША</c:v>
                </c:pt>
                <c:pt idx="9">
                  <c:v>СЪРБИЯ 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1114825</c:v>
                </c:pt>
                <c:pt idx="1">
                  <c:v>988064</c:v>
                </c:pt>
                <c:pt idx="2">
                  <c:v>729832</c:v>
                </c:pt>
                <c:pt idx="3">
                  <c:v>541408</c:v>
                </c:pt>
                <c:pt idx="4">
                  <c:v>469627</c:v>
                </c:pt>
                <c:pt idx="5">
                  <c:v>445776</c:v>
                </c:pt>
                <c:pt idx="6">
                  <c:v>438618</c:v>
                </c:pt>
                <c:pt idx="7">
                  <c:v>434434</c:v>
                </c:pt>
                <c:pt idx="8">
                  <c:v>404872</c:v>
                </c:pt>
                <c:pt idx="9">
                  <c:v>350057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4A-46A2-B18B-A7110F098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2061617584"/>
        <c:axId val="-2061615952"/>
      </c:barChart>
      <c:catAx>
        <c:axId val="-2061617584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2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061615952"/>
        <c:crosses val="autoZero"/>
        <c:auto val="1"/>
        <c:lblAlgn val="ctr"/>
        <c:lblOffset val="100"/>
        <c:noMultiLvlLbl val="0"/>
      </c:catAx>
      <c:valAx>
        <c:axId val="-2061615952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206161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3286844009363707"/>
          <c:y val="0.71128803795117257"/>
          <c:w val="0.31049959565865076"/>
          <c:h val="0.16659419892699023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02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bg-BG"/>
              <a:t>Приходи от входящ туризъм в млн. евро  </a:t>
            </a:r>
          </a:p>
        </c:rich>
      </c:tx>
      <c:overlay val="0"/>
      <c:spPr>
        <a:noFill/>
        <a:ln w="25399">
          <a:noFill/>
        </a:ln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2017 г. </c:v>
          </c:tx>
          <c:spPr>
            <a:ln w="28574" cap="rnd">
              <a:solidFill>
                <a:schemeClr val="accent3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>
                  <a:lumMod val="75000"/>
                </a:schemeClr>
              </a:solidFill>
              <a:ln w="9524">
                <a:solidFill>
                  <a:schemeClr val="accent3">
                    <a:lumMod val="75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Sheet1!$K$18:$K$29</c:f>
              <c:numCache>
                <c:formatCode>General</c:formatCode>
                <c:ptCount val="12"/>
                <c:pt idx="0">
                  <c:v>124.54643912124206</c:v>
                </c:pt>
                <c:pt idx="1">
                  <c:v>114.17760003511674</c:v>
                </c:pt>
                <c:pt idx="2">
                  <c:v>118.75096368555842</c:v>
                </c:pt>
                <c:pt idx="3">
                  <c:v>153.01023985924024</c:v>
                </c:pt>
                <c:pt idx="4">
                  <c:v>236.45340385957576</c:v>
                </c:pt>
                <c:pt idx="5">
                  <c:v>454.3533549692126</c:v>
                </c:pt>
                <c:pt idx="6">
                  <c:v>696.78285415081541</c:v>
                </c:pt>
                <c:pt idx="7">
                  <c:v>743.97619344950988</c:v>
                </c:pt>
                <c:pt idx="8">
                  <c:v>396.91628481188167</c:v>
                </c:pt>
                <c:pt idx="9">
                  <c:v>201.38985289205385</c:v>
                </c:pt>
                <c:pt idx="10">
                  <c:v>140.79316305202136</c:v>
                </c:pt>
                <c:pt idx="11">
                  <c:v>144.35354888702136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D4A-4AD8-BDFD-B2DC048B5D2A}"/>
            </c:ext>
          </c:extLst>
        </c:ser>
        <c:ser>
          <c:idx val="1"/>
          <c:order val="1"/>
          <c:tx>
            <c:v>2018 г.</c:v>
          </c:tx>
          <c:spPr>
            <a:ln w="28574" cap="rnd">
              <a:solidFill>
                <a:schemeClr val="accent3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chemeClr val="accent3">
                  <a:lumMod val="40000"/>
                  <a:lumOff val="60000"/>
                </a:schemeClr>
              </a:solidFill>
              <a:ln w="9524">
                <a:solidFill>
                  <a:schemeClr val="accent3">
                    <a:lumMod val="60000"/>
                    <a:lumOff val="40000"/>
                  </a:schemeClr>
                </a:solidFill>
              </a:ln>
              <a:effectLst/>
            </c:spPr>
          </c:marker>
          <c:cat>
            <c:strRef>
              <c:f>Sheet1!$J$18:$J$29</c:f>
              <c:strCache>
                <c:ptCount val="12"/>
                <c:pt idx="0">
                  <c:v>ян.</c:v>
                </c:pt>
                <c:pt idx="1">
                  <c:v>февр.</c:v>
                </c:pt>
                <c:pt idx="2">
                  <c:v>март</c:v>
                </c:pt>
                <c:pt idx="3">
                  <c:v>април</c:v>
                </c:pt>
                <c:pt idx="4">
                  <c:v>май </c:v>
                </c:pt>
                <c:pt idx="5">
                  <c:v>юни </c:v>
                </c:pt>
                <c:pt idx="6">
                  <c:v>юли </c:v>
                </c:pt>
                <c:pt idx="7">
                  <c:v>август</c:v>
                </c:pt>
                <c:pt idx="8">
                  <c:v>септ.</c:v>
                </c:pt>
                <c:pt idx="9">
                  <c:v>окт.</c:v>
                </c:pt>
                <c:pt idx="10">
                  <c:v>ноем.</c:v>
                </c:pt>
                <c:pt idx="11">
                  <c:v>дек.</c:v>
                </c:pt>
              </c:strCache>
            </c:strRef>
          </c:cat>
          <c:val>
            <c:numRef>
              <c:f>Sheet1!$L$18:$L$29</c:f>
              <c:numCache>
                <c:formatCode>General</c:formatCode>
                <c:ptCount val="12"/>
                <c:pt idx="0">
                  <c:v>145.45174845990974</c:v>
                </c:pt>
                <c:pt idx="1">
                  <c:v>117.18079219620523</c:v>
                </c:pt>
                <c:pt idx="2">
                  <c:v>132.9145857897646</c:v>
                </c:pt>
                <c:pt idx="3">
                  <c:v>170.08441264646157</c:v>
                </c:pt>
                <c:pt idx="4">
                  <c:v>261.34637897288633</c:v>
                </c:pt>
                <c:pt idx="5">
                  <c:v>491.07742357663972</c:v>
                </c:pt>
                <c:pt idx="6">
                  <c:v>733.36895803610571</c:v>
                </c:pt>
                <c:pt idx="7">
                  <c:v>781.06719318481191</c:v>
                </c:pt>
                <c:pt idx="8">
                  <c:v>418.40183634670842</c:v>
                </c:pt>
                <c:pt idx="9">
                  <c:v>208.64584014373051</c:v>
                </c:pt>
                <c:pt idx="10">
                  <c:v>144.07342747658438</c:v>
                </c:pt>
                <c:pt idx="11">
                  <c:v>150.88717761345075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D4A-4AD8-BDFD-B2DC048B5D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061618128"/>
        <c:axId val="-2061618672"/>
      </c:lineChart>
      <c:catAx>
        <c:axId val="-20616181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061618672"/>
        <c:crosses val="autoZero"/>
        <c:auto val="1"/>
        <c:lblAlgn val="ctr"/>
        <c:lblOffset val="100"/>
        <c:noMultiLvlLbl val="0"/>
      </c:catAx>
      <c:valAx>
        <c:axId val="-2061618672"/>
        <c:scaling>
          <c:orientation val="minMax"/>
        </c:scaling>
        <c:delete val="0"/>
        <c:axPos val="l"/>
        <c:majorGridlines>
          <c:spPr>
            <a:ln w="9524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ln w="9524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061618128"/>
        <c:crosses val="autoZero"/>
        <c:crossBetween val="between"/>
      </c:valAx>
      <c:spPr>
        <a:noFill/>
        <a:ln w="25398">
          <a:noFill/>
        </a:ln>
      </c:spPr>
    </c:plotArea>
    <c:legend>
      <c:legendPos val="b"/>
      <c:overlay val="0"/>
      <c:spPr>
        <a:noFill/>
        <a:ln w="25399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333333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spPr>
    <a:solidFill>
      <a:schemeClr val="bg1"/>
    </a:solidFill>
    <a:ln w="9524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2070423795058733"/>
          <c:y val="3.3953765528152352E-2"/>
          <c:w val="0.67467472039174403"/>
          <c:h val="0.9086083340706008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януари-октомври 2018 г.</c:v>
                </c:pt>
              </c:strCache>
            </c:strRef>
          </c:tx>
          <c:invertIfNegative val="0"/>
          <c:dLbls>
            <c:spPr>
              <a:noFill/>
              <a:ln w="26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4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ГЕРМАНИЯ</c:v>
                </c:pt>
                <c:pt idx="5">
                  <c:v>СЕВЕРНА 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Sheet1!$B$2:$B$11</c:f>
              <c:numCache>
                <c:formatCode>#,##0</c:formatCode>
                <c:ptCount val="10"/>
                <c:pt idx="0">
                  <c:v>1281793</c:v>
                </c:pt>
                <c:pt idx="1">
                  <c:v>1239945</c:v>
                </c:pt>
                <c:pt idx="2">
                  <c:v>448095</c:v>
                </c:pt>
                <c:pt idx="3">
                  <c:v>424773</c:v>
                </c:pt>
                <c:pt idx="4">
                  <c:v>359146</c:v>
                </c:pt>
                <c:pt idx="5">
                  <c:v>362716</c:v>
                </c:pt>
                <c:pt idx="6">
                  <c:v>208856</c:v>
                </c:pt>
                <c:pt idx="7">
                  <c:v>189771</c:v>
                </c:pt>
                <c:pt idx="8">
                  <c:v>159702</c:v>
                </c:pt>
                <c:pt idx="9">
                  <c:v>154549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F8-41BE-B33E-89AF87ED02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януари-октомври 2019 г.</c:v>
                </c:pt>
              </c:strCache>
            </c:strRef>
          </c:tx>
          <c:invertIfNegative val="0"/>
          <c:dLbls>
            <c:spPr>
              <a:noFill/>
              <a:ln w="26403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4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bg-BG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ТУРЦИЯ</c:v>
                </c:pt>
                <c:pt idx="1">
                  <c:v>ГЪРЦИЯ</c:v>
                </c:pt>
                <c:pt idx="2">
                  <c:v>РУМЪНИЯ</c:v>
                </c:pt>
                <c:pt idx="3">
                  <c:v>СЪРБИЯ</c:v>
                </c:pt>
                <c:pt idx="4">
                  <c:v>ГЕРМАНИЯ</c:v>
                </c:pt>
                <c:pt idx="5">
                  <c:v>СЕВЕРНА МАКЕДОНИЯ</c:v>
                </c:pt>
                <c:pt idx="6">
                  <c:v>ИТАЛИЯ</c:v>
                </c:pt>
                <c:pt idx="7">
                  <c:v>АВСТРИЯ</c:v>
                </c:pt>
                <c:pt idx="8">
                  <c:v>ИСПАНИЯ</c:v>
                </c:pt>
                <c:pt idx="9">
                  <c:v>ВЕЛИКОБРИТАНИЯ</c:v>
                </c:pt>
              </c:strCache>
            </c:strRef>
          </c:cat>
          <c:val>
            <c:numRef>
              <c:f>Sheet1!$C$2:$C$11</c:f>
              <c:numCache>
                <c:formatCode>#,##0</c:formatCode>
                <c:ptCount val="10"/>
                <c:pt idx="0">
                  <c:v>1364121</c:v>
                </c:pt>
                <c:pt idx="1">
                  <c:v>1297647</c:v>
                </c:pt>
                <c:pt idx="2">
                  <c:v>474476</c:v>
                </c:pt>
                <c:pt idx="3">
                  <c:v>434692</c:v>
                </c:pt>
                <c:pt idx="4">
                  <c:v>375187</c:v>
                </c:pt>
                <c:pt idx="5">
                  <c:v>372131</c:v>
                </c:pt>
                <c:pt idx="6">
                  <c:v>209368</c:v>
                </c:pt>
                <c:pt idx="7">
                  <c:v>198769</c:v>
                </c:pt>
                <c:pt idx="8">
                  <c:v>171641</c:v>
                </c:pt>
                <c:pt idx="9">
                  <c:v>161938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F8-41BE-B33E-89AF87ED02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-10"/>
        <c:axId val="-2061619216"/>
        <c:axId val="-2061615408"/>
      </c:barChart>
      <c:catAx>
        <c:axId val="-206161921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4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bg-BG"/>
          </a:p>
        </c:txPr>
        <c:crossAx val="-2061615408"/>
        <c:crosses val="autoZero"/>
        <c:auto val="1"/>
        <c:lblAlgn val="ctr"/>
        <c:lblOffset val="100"/>
        <c:noMultiLvlLbl val="0"/>
      </c:catAx>
      <c:valAx>
        <c:axId val="-2061615408"/>
        <c:scaling>
          <c:orientation val="minMax"/>
        </c:scaling>
        <c:delete val="1"/>
        <c:axPos val="t"/>
        <c:numFmt formatCode="#,##0" sourceLinked="1"/>
        <c:majorTickMark val="out"/>
        <c:minorTickMark val="none"/>
        <c:tickLblPos val="nextTo"/>
        <c:crossAx val="-2061619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371713805892446"/>
          <c:y val="0.70938386489567584"/>
          <c:w val="0.34315075837805026"/>
          <c:h val="0.15945730268564917"/>
        </c:manualLayout>
      </c:layout>
      <c:overlay val="0"/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bg-BG"/>
        </a:p>
      </c:txPr>
    </c:legend>
    <c:plotVisOnly val="1"/>
    <c:dispBlanksAs val="gap"/>
    <c:showDLblsOverMax val="0"/>
  </c:chart>
  <c:txPr>
    <a:bodyPr/>
    <a:lstStyle/>
    <a:p>
      <a:pPr>
        <a:defRPr sz="1041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MT Romania">
    <a:dk1>
      <a:sysClr val="windowText" lastClr="000000"/>
    </a:dk1>
    <a:lt1>
      <a:sysClr val="window" lastClr="FFFFFF"/>
    </a:lt1>
    <a:dk2>
      <a:srgbClr val="0C1227"/>
    </a:dk2>
    <a:lt2>
      <a:srgbClr val="FDF9F7"/>
    </a:lt2>
    <a:accent1>
      <a:srgbClr val="0072C6"/>
    </a:accent1>
    <a:accent2>
      <a:srgbClr val="F98723"/>
    </a:accent2>
    <a:accent3>
      <a:srgbClr val="DC3C00"/>
    </a:accent3>
    <a:accent4>
      <a:srgbClr val="F9CB23"/>
    </a:accent4>
    <a:accent5>
      <a:srgbClr val="146834"/>
    </a:accent5>
    <a:accent6>
      <a:srgbClr val="79498B"/>
    </a:accent6>
    <a:hlink>
      <a:srgbClr val="0072C6"/>
    </a:hlink>
    <a:folHlink>
      <a:srgbClr val="79498B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4C42A-CD32-4449-8862-A151930F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BG_Tourism_Comunike_January_August_2019.dot</Template>
  <TotalTime>23</TotalTime>
  <Pages>7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Ruslan Nurgaliev</cp:lastModifiedBy>
  <cp:revision>8</cp:revision>
  <cp:lastPrinted>2017-03-30T11:06:00Z</cp:lastPrinted>
  <dcterms:created xsi:type="dcterms:W3CDTF">2019-11-27T22:45:00Z</dcterms:created>
  <dcterms:modified xsi:type="dcterms:W3CDTF">2019-11-28T17:02:00Z</dcterms:modified>
</cp:coreProperties>
</file>