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C17EBD" w:rsidP="00727031">
      <w:pPr>
        <w:pStyle w:val="Title"/>
        <w:rPr>
          <w:lang w:val="bg-BG"/>
        </w:rPr>
      </w:pPr>
      <w:r>
        <w:rPr>
          <w:lang w:val="bg-BG"/>
        </w:rPr>
        <w:t>ЮНИ</w:t>
      </w:r>
      <w:r w:rsidR="003B12FB">
        <w:rPr>
          <w:lang w:val="en-US"/>
        </w:rPr>
        <w:t xml:space="preserve"> </w:t>
      </w:r>
      <w:r w:rsidR="003B12FB">
        <w:rPr>
          <w:lang w:val="bg-BG"/>
        </w:rPr>
        <w:t>–</w:t>
      </w:r>
      <w:r w:rsidR="00151932">
        <w:rPr>
          <w:lang w:val="en-US"/>
        </w:rPr>
        <w:t xml:space="preserve"> </w:t>
      </w:r>
      <w:r w:rsidR="006C4791">
        <w:rPr>
          <w:lang w:val="bg-BG"/>
        </w:rPr>
        <w:t>СЕПТЕМВРИ</w:t>
      </w:r>
      <w:r w:rsidR="003B12FB">
        <w:rPr>
          <w:lang w:val="en-US"/>
        </w:rPr>
        <w:t xml:space="preserve"> </w:t>
      </w:r>
      <w:r w:rsidR="00B5474B">
        <w:t>201</w:t>
      </w:r>
      <w:r w:rsidR="00727031">
        <w:rPr>
          <w:lang w:val="bg-BG"/>
        </w:rPr>
        <w:t>9</w:t>
      </w:r>
      <w:r w:rsidR="00294D88">
        <w:t xml:space="preserve"> г.</w:t>
      </w:r>
    </w:p>
    <w:p w:rsidR="00294D88" w:rsidRDefault="00FF463E" w:rsidP="005F30B6">
      <w:pPr>
        <w:pStyle w:val="Heading1"/>
      </w:pPr>
      <w:r>
        <w:t xml:space="preserve">Входящ туризъм </w:t>
      </w:r>
    </w:p>
    <w:p w:rsidR="00294D88" w:rsidRPr="00826898" w:rsidRDefault="00261225" w:rsidP="003B12FB">
      <w:pPr>
        <w:jc w:val="both"/>
        <w:rPr>
          <w:b/>
          <w:color w:val="auto"/>
          <w:szCs w:val="24"/>
        </w:rPr>
      </w:pPr>
      <w:r w:rsidRPr="00826898">
        <w:rPr>
          <w:color w:val="auto"/>
          <w:szCs w:val="24"/>
        </w:rPr>
        <w:t>През</w:t>
      </w:r>
      <w:r w:rsidR="00361F96" w:rsidRPr="00826898">
        <w:rPr>
          <w:color w:val="auto"/>
          <w:szCs w:val="24"/>
        </w:rPr>
        <w:t xml:space="preserve"> </w:t>
      </w:r>
      <w:r w:rsidR="00151932" w:rsidRPr="00826898">
        <w:rPr>
          <w:color w:val="auto"/>
          <w:szCs w:val="24"/>
        </w:rPr>
        <w:t xml:space="preserve">периода </w:t>
      </w:r>
      <w:r w:rsidR="00C17EBD">
        <w:rPr>
          <w:b/>
          <w:bCs/>
          <w:color w:val="auto"/>
          <w:szCs w:val="24"/>
        </w:rPr>
        <w:t>юни</w:t>
      </w:r>
      <w:r w:rsidR="003B12FB" w:rsidRPr="003B12FB">
        <w:rPr>
          <w:b/>
          <w:bCs/>
          <w:color w:val="auto"/>
          <w:szCs w:val="24"/>
        </w:rPr>
        <w:t xml:space="preserve"> </w:t>
      </w:r>
      <w:r w:rsidR="003B12FB">
        <w:rPr>
          <w:b/>
          <w:bCs/>
          <w:color w:val="auto"/>
          <w:szCs w:val="24"/>
        </w:rPr>
        <w:t>–</w:t>
      </w:r>
      <w:r w:rsidR="00361F96" w:rsidRPr="00826898">
        <w:rPr>
          <w:color w:val="auto"/>
          <w:szCs w:val="24"/>
        </w:rPr>
        <w:t xml:space="preserve"> </w:t>
      </w:r>
      <w:r w:rsidR="006C4791">
        <w:rPr>
          <w:b/>
          <w:bCs/>
          <w:color w:val="auto"/>
          <w:szCs w:val="24"/>
        </w:rPr>
        <w:t>септември</w:t>
      </w:r>
      <w:r w:rsidR="003B12FB" w:rsidRPr="003B12FB">
        <w:rPr>
          <w:b/>
          <w:bCs/>
          <w:color w:val="auto"/>
          <w:szCs w:val="24"/>
        </w:rPr>
        <w:t xml:space="preserve"> </w:t>
      </w:r>
      <w:r w:rsidR="00727031">
        <w:rPr>
          <w:b/>
          <w:bCs/>
          <w:color w:val="auto"/>
          <w:szCs w:val="24"/>
        </w:rPr>
        <w:t>2019</w:t>
      </w:r>
      <w:r w:rsidR="00294D88" w:rsidRPr="00826898">
        <w:rPr>
          <w:b/>
          <w:bCs/>
          <w:color w:val="auto"/>
          <w:szCs w:val="24"/>
        </w:rPr>
        <w:t xml:space="preserve"> г</w:t>
      </w:r>
      <w:r w:rsidR="00294D88" w:rsidRPr="00826898">
        <w:rPr>
          <w:b/>
          <w:color w:val="auto"/>
          <w:szCs w:val="24"/>
        </w:rPr>
        <w:t>.</w:t>
      </w:r>
      <w:r w:rsidR="00294D88" w:rsidRPr="00826898">
        <w:rPr>
          <w:color w:val="auto"/>
          <w:szCs w:val="24"/>
        </w:rPr>
        <w:t xml:space="preserve"> общият брой</w:t>
      </w:r>
      <w:r w:rsidR="004902A6" w:rsidRPr="00826898">
        <w:rPr>
          <w:color w:val="auto"/>
          <w:szCs w:val="24"/>
        </w:rPr>
        <w:t xml:space="preserve"> туристически</w:t>
      </w:r>
      <w:r w:rsidR="00294D88" w:rsidRPr="00826898">
        <w:rPr>
          <w:color w:val="auto"/>
          <w:szCs w:val="24"/>
        </w:rPr>
        <w:t xml:space="preserve"> посещения на </w:t>
      </w:r>
      <w:r w:rsidR="00DC1943" w:rsidRPr="00826898">
        <w:rPr>
          <w:b/>
          <w:color w:val="auto"/>
          <w:szCs w:val="24"/>
        </w:rPr>
        <w:t xml:space="preserve">чужденци </w:t>
      </w:r>
      <w:r w:rsidR="00294D88" w:rsidRPr="00826898">
        <w:rPr>
          <w:b/>
          <w:color w:val="auto"/>
          <w:szCs w:val="24"/>
        </w:rPr>
        <w:t>в България</w:t>
      </w:r>
      <w:r w:rsidR="00F50389" w:rsidRPr="00826898">
        <w:rPr>
          <w:b/>
          <w:color w:val="auto"/>
          <w:szCs w:val="24"/>
        </w:rPr>
        <w:t xml:space="preserve"> </w:t>
      </w:r>
      <w:r w:rsidR="00DC6FC0">
        <w:rPr>
          <w:b/>
          <w:color w:val="auto"/>
          <w:szCs w:val="24"/>
        </w:rPr>
        <w:t>е</w:t>
      </w:r>
      <w:r w:rsidR="00AB5C9D">
        <w:rPr>
          <w:b/>
          <w:color w:val="auto"/>
          <w:szCs w:val="24"/>
        </w:rPr>
        <w:t xml:space="preserve"> </w:t>
      </w:r>
      <w:r w:rsidR="00F21675" w:rsidRPr="00F21675">
        <w:rPr>
          <w:b/>
          <w:color w:val="auto"/>
          <w:szCs w:val="24"/>
        </w:rPr>
        <w:t>5</w:t>
      </w:r>
      <w:r w:rsidR="003B12FB">
        <w:rPr>
          <w:b/>
          <w:color w:val="auto"/>
          <w:szCs w:val="24"/>
          <w:lang w:val="ru-RU"/>
        </w:rPr>
        <w:t> </w:t>
      </w:r>
      <w:r w:rsidR="00F21675" w:rsidRPr="00F21675">
        <w:rPr>
          <w:b/>
          <w:color w:val="auto"/>
          <w:szCs w:val="24"/>
        </w:rPr>
        <w:t>401</w:t>
      </w:r>
      <w:r w:rsidR="003B12FB">
        <w:rPr>
          <w:b/>
          <w:color w:val="auto"/>
          <w:szCs w:val="24"/>
          <w:lang w:val="ru-RU"/>
        </w:rPr>
        <w:t> </w:t>
      </w:r>
      <w:r w:rsidR="00F21675" w:rsidRPr="00F21675">
        <w:rPr>
          <w:b/>
          <w:color w:val="auto"/>
          <w:szCs w:val="24"/>
        </w:rPr>
        <w:t>139</w:t>
      </w:r>
      <w:r w:rsidR="00294D88" w:rsidRPr="00826898">
        <w:rPr>
          <w:b/>
          <w:color w:val="auto"/>
          <w:szCs w:val="24"/>
        </w:rPr>
        <w:t>.</w:t>
      </w:r>
      <w:r w:rsidR="00294D88" w:rsidRPr="00826898">
        <w:rPr>
          <w:b/>
          <w:color w:val="auto"/>
          <w:szCs w:val="24"/>
          <w:lang w:val="ru-RU"/>
        </w:rPr>
        <w:t xml:space="preserve"> </w:t>
      </w:r>
      <w:r w:rsidR="00AB5C9D">
        <w:rPr>
          <w:b/>
          <w:bCs/>
          <w:color w:val="auto"/>
          <w:szCs w:val="24"/>
        </w:rPr>
        <w:t xml:space="preserve">Спадът </w:t>
      </w:r>
      <w:r w:rsidR="00132B9F" w:rsidRPr="00826898">
        <w:rPr>
          <w:color w:val="auto"/>
          <w:szCs w:val="24"/>
        </w:rPr>
        <w:t>спрямо</w:t>
      </w:r>
      <w:r w:rsidR="00AB5C9D">
        <w:rPr>
          <w:color w:val="auto"/>
          <w:szCs w:val="24"/>
        </w:rPr>
        <w:t xml:space="preserve"> </w:t>
      </w:r>
      <w:r w:rsidR="003B12FB">
        <w:rPr>
          <w:color w:val="auto"/>
          <w:szCs w:val="24"/>
        </w:rPr>
        <w:t>периода</w:t>
      </w:r>
      <w:r w:rsidR="00AB5C9D">
        <w:rPr>
          <w:color w:val="auto"/>
          <w:szCs w:val="24"/>
        </w:rPr>
        <w:t xml:space="preserve"> </w:t>
      </w:r>
      <w:r w:rsidR="00C17EBD">
        <w:rPr>
          <w:color w:val="auto"/>
          <w:szCs w:val="24"/>
        </w:rPr>
        <w:t>юни</w:t>
      </w:r>
      <w:r w:rsidR="00A9138F" w:rsidRPr="00826898">
        <w:rPr>
          <w:color w:val="auto"/>
          <w:szCs w:val="24"/>
        </w:rPr>
        <w:t xml:space="preserve"> -</w:t>
      </w:r>
      <w:r w:rsidR="003171E2" w:rsidRPr="00826898">
        <w:rPr>
          <w:color w:val="auto"/>
          <w:szCs w:val="24"/>
        </w:rPr>
        <w:t xml:space="preserve"> </w:t>
      </w:r>
      <w:r w:rsidR="006C4791">
        <w:rPr>
          <w:color w:val="auto"/>
          <w:szCs w:val="24"/>
        </w:rPr>
        <w:t>септември</w:t>
      </w:r>
      <w:r w:rsidR="00AB5C9D">
        <w:rPr>
          <w:color w:val="auto"/>
          <w:szCs w:val="24"/>
        </w:rPr>
        <w:t xml:space="preserve"> </w:t>
      </w:r>
      <w:r w:rsidR="00390C3D">
        <w:rPr>
          <w:color w:val="auto"/>
          <w:szCs w:val="24"/>
        </w:rPr>
        <w:t>2018</w:t>
      </w:r>
      <w:r w:rsidR="00396FF1" w:rsidRPr="00826898">
        <w:rPr>
          <w:color w:val="auto"/>
          <w:szCs w:val="24"/>
        </w:rPr>
        <w:t xml:space="preserve"> г. </w:t>
      </w:r>
      <w:r w:rsidR="00396FF1" w:rsidRPr="00826898">
        <w:rPr>
          <w:b/>
          <w:bCs/>
          <w:color w:val="auto"/>
          <w:szCs w:val="24"/>
        </w:rPr>
        <w:t>е</w:t>
      </w:r>
      <w:r w:rsidR="00DC6FC0">
        <w:rPr>
          <w:b/>
          <w:bCs/>
          <w:color w:val="auto"/>
          <w:szCs w:val="24"/>
        </w:rPr>
        <w:t xml:space="preserve"> </w:t>
      </w:r>
      <w:r w:rsidR="00F21675" w:rsidRPr="00F21675">
        <w:rPr>
          <w:b/>
          <w:bCs/>
          <w:color w:val="auto"/>
          <w:szCs w:val="24"/>
        </w:rPr>
        <w:t>1,2</w:t>
      </w:r>
      <w:r w:rsidR="00390C3D">
        <w:rPr>
          <w:b/>
          <w:bCs/>
          <w:color w:val="auto"/>
          <w:szCs w:val="24"/>
        </w:rPr>
        <w:t>%</w:t>
      </w:r>
      <w:r w:rsidR="004902A6" w:rsidRPr="00826898">
        <w:rPr>
          <w:b/>
          <w:color w:val="auto"/>
        </w:rPr>
        <w:t>.</w:t>
      </w:r>
    </w:p>
    <w:p w:rsidR="00294D88" w:rsidRPr="00EA4A5D" w:rsidRDefault="00294D88" w:rsidP="00C0122F">
      <w:pPr>
        <w:pStyle w:val="Caption"/>
      </w:pPr>
      <w:r w:rsidRPr="00EA4A5D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1</w:t>
      </w:r>
      <w:r w:rsidR="00D13933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</w:t>
      </w:r>
      <w:r w:rsidR="00975FF9">
        <w:t xml:space="preserve"> периода </w:t>
      </w:r>
      <w:r w:rsidR="00C17EBD">
        <w:t>юни</w:t>
      </w:r>
      <w:r w:rsidR="003B12FB" w:rsidRPr="003B12FB">
        <w:t xml:space="preserve"> </w:t>
      </w:r>
      <w:r w:rsidR="00C0122F">
        <w:t xml:space="preserve">– </w:t>
      </w:r>
      <w:r w:rsidR="006C4791">
        <w:t>септември</w:t>
      </w:r>
      <w:r w:rsidR="003B12FB" w:rsidRPr="003B12FB">
        <w:t xml:space="preserve"> </w:t>
      </w:r>
      <w:r w:rsidRPr="00EA4A5D">
        <w:t>(брой)</w:t>
      </w:r>
    </w:p>
    <w:p w:rsidR="00294D88" w:rsidRDefault="0021776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85617C">
        <w:rPr>
          <w:noProof/>
          <w:lang w:eastAsia="bg-BG"/>
        </w:rPr>
        <w:drawing>
          <wp:inline distT="0" distB="0" distL="0" distR="0">
            <wp:extent cx="5556250" cy="1917700"/>
            <wp:effectExtent l="0" t="0" r="0" b="0"/>
            <wp:docPr id="7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AB5C9D" w:rsidRDefault="00FD4F91" w:rsidP="003B12FB">
      <w:pPr>
        <w:jc w:val="both"/>
        <w:rPr>
          <w:b/>
          <w:bCs/>
          <w:color w:val="auto"/>
          <w:szCs w:val="24"/>
        </w:rPr>
      </w:pPr>
      <w:r>
        <w:rPr>
          <w:b/>
          <w:color w:val="auto"/>
          <w:szCs w:val="24"/>
        </w:rPr>
        <w:t xml:space="preserve">Намаление </w:t>
      </w:r>
      <w:r w:rsidR="00294D88" w:rsidRPr="00826898">
        <w:rPr>
          <w:color w:val="auto"/>
          <w:szCs w:val="24"/>
        </w:rPr>
        <w:t>има</w:t>
      </w:r>
      <w:r w:rsidR="00531620" w:rsidRPr="00531620">
        <w:rPr>
          <w:color w:val="auto"/>
          <w:szCs w:val="24"/>
          <w:lang w:val="ru-RU"/>
        </w:rPr>
        <w:t xml:space="preserve"> </w:t>
      </w:r>
      <w:r w:rsidR="00AB5C9D">
        <w:rPr>
          <w:color w:val="auto"/>
          <w:szCs w:val="24"/>
          <w:lang w:val="ru-RU"/>
        </w:rPr>
        <w:t>при</w:t>
      </w:r>
      <w:r w:rsidR="00531620" w:rsidRPr="00531620">
        <w:rPr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>посещенията</w:t>
      </w:r>
      <w:r w:rsidR="00294D88" w:rsidRPr="00826898">
        <w:rPr>
          <w:bCs/>
          <w:color w:val="auto"/>
          <w:szCs w:val="24"/>
          <w:lang w:val="ru-RU"/>
        </w:rPr>
        <w:t xml:space="preserve"> </w:t>
      </w:r>
      <w:r w:rsidR="003171E2" w:rsidRPr="00826898">
        <w:rPr>
          <w:bCs/>
          <w:color w:val="auto"/>
          <w:szCs w:val="24"/>
          <w:lang w:val="ru-RU"/>
        </w:rPr>
        <w:t>с</w:t>
      </w:r>
      <w:r w:rsidR="00294D88" w:rsidRPr="00826898">
        <w:rPr>
          <w:bCs/>
          <w:color w:val="auto"/>
          <w:szCs w:val="24"/>
          <w:lang w:val="ru-RU"/>
        </w:rPr>
        <w:t xml:space="preserve"> цел</w:t>
      </w:r>
      <w:r w:rsidR="00294D88" w:rsidRPr="00826898">
        <w:rPr>
          <w:b/>
          <w:bCs/>
          <w:color w:val="auto"/>
          <w:szCs w:val="24"/>
          <w:lang w:val="ru-RU"/>
        </w:rPr>
        <w:t xml:space="preserve"> </w:t>
      </w:r>
      <w:r w:rsidR="003171E2" w:rsidRPr="00826898">
        <w:rPr>
          <w:b/>
          <w:bCs/>
          <w:color w:val="auto"/>
          <w:szCs w:val="24"/>
        </w:rPr>
        <w:t>почивка</w:t>
      </w:r>
      <w:r w:rsidR="003171E2" w:rsidRPr="00826898">
        <w:rPr>
          <w:b/>
          <w:bCs/>
          <w:color w:val="auto"/>
          <w:szCs w:val="24"/>
          <w:lang w:val="ru-RU"/>
        </w:rPr>
        <w:t xml:space="preserve"> </w:t>
      </w:r>
      <w:r w:rsidR="00294D88" w:rsidRPr="00826898">
        <w:rPr>
          <w:b/>
          <w:bCs/>
          <w:color w:val="auto"/>
          <w:szCs w:val="24"/>
        </w:rPr>
        <w:t>и ваканция</w:t>
      </w:r>
      <w:r w:rsidR="00294D88" w:rsidRPr="00826898">
        <w:rPr>
          <w:bCs/>
          <w:color w:val="auto"/>
          <w:szCs w:val="24"/>
        </w:rPr>
        <w:t>,</w:t>
      </w:r>
      <w:r w:rsidR="00531620" w:rsidRPr="00531620">
        <w:rPr>
          <w:bCs/>
          <w:color w:val="auto"/>
          <w:szCs w:val="24"/>
          <w:lang w:val="ru-RU"/>
        </w:rPr>
        <w:t xml:space="preserve"> </w:t>
      </w:r>
      <w:r w:rsidR="00AB5C9D">
        <w:rPr>
          <w:bCs/>
          <w:color w:val="auto"/>
          <w:szCs w:val="24"/>
        </w:rPr>
        <w:t>като</w:t>
      </w:r>
      <w:r w:rsidR="00531620" w:rsidRPr="00531620">
        <w:rPr>
          <w:bCs/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>са реализирани</w:t>
      </w:r>
      <w:r w:rsidR="009D4D93" w:rsidRPr="00826898">
        <w:rPr>
          <w:bCs/>
          <w:color w:val="auto"/>
          <w:szCs w:val="24"/>
          <w:lang w:val="ru-RU"/>
        </w:rPr>
        <w:t xml:space="preserve"> </w:t>
      </w:r>
      <w:r w:rsidRPr="00FD4F91">
        <w:rPr>
          <w:b/>
          <w:color w:val="auto"/>
          <w:szCs w:val="24"/>
          <w:lang w:val="ru-RU"/>
        </w:rPr>
        <w:t>3</w:t>
      </w:r>
      <w:r w:rsidR="003B12FB">
        <w:rPr>
          <w:b/>
          <w:color w:val="auto"/>
          <w:szCs w:val="24"/>
          <w:lang w:val="ru-RU"/>
        </w:rPr>
        <w:t> </w:t>
      </w:r>
      <w:r w:rsidRPr="00FD4F91">
        <w:rPr>
          <w:b/>
          <w:color w:val="auto"/>
          <w:szCs w:val="24"/>
          <w:lang w:val="ru-RU"/>
        </w:rPr>
        <w:t>845</w:t>
      </w:r>
      <w:r w:rsidR="0035740D">
        <w:rPr>
          <w:b/>
          <w:color w:val="auto"/>
          <w:szCs w:val="24"/>
          <w:lang w:val="ru-RU"/>
        </w:rPr>
        <w:t> </w:t>
      </w:r>
      <w:r w:rsidRPr="00FD4F91">
        <w:rPr>
          <w:b/>
          <w:color w:val="auto"/>
          <w:szCs w:val="24"/>
          <w:lang w:val="ru-RU"/>
        </w:rPr>
        <w:t>031</w:t>
      </w:r>
      <w:r w:rsidR="0035740D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b/>
          <w:color w:val="auto"/>
          <w:szCs w:val="24"/>
        </w:rPr>
        <w:t>посещения</w:t>
      </w:r>
      <w:r w:rsidR="009D4D93" w:rsidRPr="00826898">
        <w:rPr>
          <w:bCs/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 xml:space="preserve">и </w:t>
      </w:r>
      <w:r>
        <w:rPr>
          <w:b/>
          <w:color w:val="auto"/>
          <w:szCs w:val="24"/>
          <w:lang w:val="ru-RU"/>
        </w:rPr>
        <w:t>спад</w:t>
      </w:r>
      <w:r w:rsidR="00FD209F" w:rsidRPr="00826898">
        <w:rPr>
          <w:b/>
          <w:color w:val="auto"/>
          <w:szCs w:val="24"/>
          <w:lang w:val="ru-RU"/>
        </w:rPr>
        <w:t xml:space="preserve"> </w:t>
      </w:r>
      <w:r w:rsidRPr="00FD4F91">
        <w:rPr>
          <w:b/>
          <w:color w:val="auto"/>
          <w:szCs w:val="24"/>
          <w:lang w:val="ru-RU"/>
        </w:rPr>
        <w:t>-0,5</w:t>
      </w:r>
      <w:r w:rsidR="00294D88" w:rsidRPr="00826898">
        <w:rPr>
          <w:b/>
          <w:color w:val="auto"/>
          <w:szCs w:val="24"/>
          <w:lang w:val="ru-RU"/>
        </w:rPr>
        <w:t xml:space="preserve">%. </w:t>
      </w:r>
      <w:r w:rsidR="00294D88" w:rsidRPr="00826898">
        <w:rPr>
          <w:color w:val="auto"/>
          <w:szCs w:val="24"/>
          <w:lang w:val="ru-RU"/>
        </w:rPr>
        <w:t>Посещенията</w:t>
      </w:r>
      <w:r w:rsidR="00294D88" w:rsidRPr="00826898">
        <w:rPr>
          <w:b/>
          <w:color w:val="auto"/>
          <w:szCs w:val="24"/>
          <w:lang w:val="ru-RU"/>
        </w:rPr>
        <w:t xml:space="preserve"> с цел </w:t>
      </w:r>
      <w:r w:rsidR="00294D88" w:rsidRPr="00826898">
        <w:rPr>
          <w:b/>
          <w:color w:val="auto"/>
          <w:szCs w:val="24"/>
        </w:rPr>
        <w:t>гостуване</w:t>
      </w:r>
      <w:r w:rsidR="009D4D93" w:rsidRPr="00826898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b/>
          <w:color w:val="auto"/>
          <w:szCs w:val="24"/>
        </w:rPr>
        <w:t>са</w:t>
      </w:r>
      <w:r w:rsidR="007E068E" w:rsidRPr="007E068E">
        <w:rPr>
          <w:b/>
          <w:color w:val="auto"/>
          <w:szCs w:val="24"/>
          <w:lang w:val="ru-RU"/>
        </w:rPr>
        <w:t xml:space="preserve"> </w:t>
      </w:r>
      <w:r w:rsidR="00E92B25" w:rsidRPr="00E92B25">
        <w:rPr>
          <w:b/>
          <w:color w:val="auto"/>
          <w:szCs w:val="24"/>
        </w:rPr>
        <w:t>343</w:t>
      </w:r>
      <w:r w:rsidR="003B12FB">
        <w:rPr>
          <w:b/>
          <w:color w:val="auto"/>
          <w:szCs w:val="24"/>
          <w:lang w:val="ru-RU"/>
        </w:rPr>
        <w:t> </w:t>
      </w:r>
      <w:r w:rsidR="00E92B25" w:rsidRPr="00E92B25">
        <w:rPr>
          <w:b/>
          <w:color w:val="auto"/>
          <w:szCs w:val="24"/>
        </w:rPr>
        <w:t>098</w:t>
      </w:r>
      <w:r w:rsidR="00294D88" w:rsidRPr="00826898">
        <w:rPr>
          <w:bCs/>
          <w:color w:val="auto"/>
        </w:rPr>
        <w:t xml:space="preserve">, </w:t>
      </w:r>
      <w:r w:rsidR="00B266BF">
        <w:rPr>
          <w:b/>
          <w:bCs/>
          <w:color w:val="auto"/>
          <w:szCs w:val="24"/>
        </w:rPr>
        <w:t xml:space="preserve">като те намаляват </w:t>
      </w:r>
      <w:r w:rsidR="003171E2" w:rsidRPr="00826898">
        <w:rPr>
          <w:b/>
          <w:bCs/>
          <w:color w:val="auto"/>
          <w:szCs w:val="24"/>
        </w:rPr>
        <w:t>с</w:t>
      </w:r>
      <w:r w:rsidR="007E068E" w:rsidRPr="007E068E">
        <w:rPr>
          <w:b/>
          <w:bCs/>
          <w:color w:val="auto"/>
          <w:szCs w:val="24"/>
          <w:lang w:val="ru-RU"/>
        </w:rPr>
        <w:t xml:space="preserve"> </w:t>
      </w:r>
      <w:r w:rsidR="00E92B25" w:rsidRPr="00E92B25">
        <w:rPr>
          <w:b/>
          <w:bCs/>
          <w:color w:val="auto"/>
          <w:szCs w:val="24"/>
          <w:lang w:val="ru-RU"/>
        </w:rPr>
        <w:t>-6,8</w:t>
      </w:r>
      <w:r w:rsidR="00294D88" w:rsidRPr="00826898">
        <w:rPr>
          <w:b/>
          <w:bCs/>
          <w:color w:val="auto"/>
          <w:szCs w:val="24"/>
          <w:lang w:val="ru-RU"/>
        </w:rPr>
        <w:t xml:space="preserve">%. </w:t>
      </w:r>
      <w:r w:rsidR="00294D88" w:rsidRPr="00826898">
        <w:rPr>
          <w:color w:val="auto"/>
          <w:szCs w:val="24"/>
          <w:lang w:val="ru-RU"/>
        </w:rPr>
        <w:t xml:space="preserve">Посещенията с </w:t>
      </w:r>
      <w:r w:rsidR="003171E2" w:rsidRPr="00826898">
        <w:rPr>
          <w:b/>
          <w:color w:val="auto"/>
          <w:szCs w:val="24"/>
          <w:lang w:val="ru-RU"/>
        </w:rPr>
        <w:t xml:space="preserve">цел </w:t>
      </w:r>
      <w:r w:rsidR="00294D88" w:rsidRPr="00826898">
        <w:rPr>
          <w:b/>
          <w:color w:val="auto"/>
          <w:szCs w:val="24"/>
          <w:lang w:val="ru-RU"/>
        </w:rPr>
        <w:t>бизнес</w:t>
      </w:r>
      <w:r w:rsidR="00C17EF9" w:rsidRPr="00826898">
        <w:rPr>
          <w:b/>
          <w:color w:val="auto"/>
          <w:szCs w:val="24"/>
          <w:lang w:val="ru-RU"/>
        </w:rPr>
        <w:t xml:space="preserve"> туризъм</w:t>
      </w:r>
      <w:r w:rsidR="00294D88" w:rsidRPr="00826898">
        <w:rPr>
          <w:b/>
          <w:color w:val="auto"/>
          <w:szCs w:val="24"/>
          <w:lang w:val="ru-RU"/>
        </w:rPr>
        <w:t xml:space="preserve"> са</w:t>
      </w:r>
      <w:r w:rsidR="00AB5C9D">
        <w:rPr>
          <w:b/>
          <w:color w:val="auto"/>
          <w:szCs w:val="24"/>
          <w:lang w:val="ru-RU"/>
        </w:rPr>
        <w:t xml:space="preserve"> </w:t>
      </w:r>
      <w:r w:rsidR="00E92B25" w:rsidRPr="00E92B25">
        <w:rPr>
          <w:b/>
          <w:color w:val="auto"/>
          <w:szCs w:val="24"/>
          <w:lang w:val="ru-RU"/>
        </w:rPr>
        <w:t>731</w:t>
      </w:r>
      <w:r w:rsidR="003B12FB">
        <w:rPr>
          <w:b/>
          <w:color w:val="auto"/>
          <w:szCs w:val="24"/>
          <w:lang w:val="ru-RU"/>
        </w:rPr>
        <w:t> </w:t>
      </w:r>
      <w:r w:rsidR="00E92B25" w:rsidRPr="00E92B25">
        <w:rPr>
          <w:b/>
          <w:color w:val="auto"/>
          <w:szCs w:val="24"/>
          <w:lang w:val="ru-RU"/>
        </w:rPr>
        <w:t>728</w:t>
      </w:r>
      <w:r w:rsidR="00294D88" w:rsidRPr="00826898">
        <w:rPr>
          <w:b/>
          <w:bCs/>
          <w:color w:val="auto"/>
          <w:szCs w:val="24"/>
        </w:rPr>
        <w:t xml:space="preserve">, </w:t>
      </w:r>
      <w:r w:rsidR="00294D88" w:rsidRPr="00826898">
        <w:rPr>
          <w:bCs/>
          <w:color w:val="auto"/>
          <w:szCs w:val="24"/>
        </w:rPr>
        <w:t>като те</w:t>
      </w:r>
      <w:r w:rsidR="00294D88" w:rsidRPr="00826898">
        <w:rPr>
          <w:b/>
          <w:bCs/>
          <w:color w:val="auto"/>
          <w:szCs w:val="24"/>
        </w:rPr>
        <w:t xml:space="preserve"> </w:t>
      </w:r>
      <w:r w:rsidR="003B12FB">
        <w:rPr>
          <w:b/>
          <w:bCs/>
          <w:color w:val="auto"/>
          <w:szCs w:val="24"/>
        </w:rPr>
        <w:t>намалява</w:t>
      </w:r>
      <w:r w:rsidR="00E92B25">
        <w:rPr>
          <w:b/>
          <w:bCs/>
          <w:color w:val="auto"/>
          <w:szCs w:val="24"/>
        </w:rPr>
        <w:t xml:space="preserve">т </w:t>
      </w:r>
      <w:r w:rsidR="00294D88" w:rsidRPr="00826898">
        <w:rPr>
          <w:b/>
          <w:bCs/>
          <w:color w:val="auto"/>
          <w:szCs w:val="24"/>
          <w:lang w:val="ru-RU"/>
        </w:rPr>
        <w:t>с</w:t>
      </w:r>
      <w:r w:rsidR="00FD209F" w:rsidRPr="00826898">
        <w:rPr>
          <w:b/>
          <w:bCs/>
          <w:color w:val="auto"/>
          <w:szCs w:val="24"/>
          <w:lang w:val="ru-RU"/>
        </w:rPr>
        <w:t xml:space="preserve"> </w:t>
      </w:r>
      <w:r w:rsidR="00E92B25" w:rsidRPr="00E92B25">
        <w:rPr>
          <w:b/>
          <w:bCs/>
          <w:color w:val="auto"/>
          <w:szCs w:val="24"/>
          <w:lang w:val="ru-RU"/>
        </w:rPr>
        <w:t>0,1</w:t>
      </w:r>
      <w:r w:rsidR="00294D88" w:rsidRPr="00826898">
        <w:rPr>
          <w:b/>
          <w:bCs/>
          <w:color w:val="auto"/>
          <w:szCs w:val="24"/>
          <w:lang w:val="ru-RU"/>
        </w:rPr>
        <w:t>%</w:t>
      </w:r>
      <w:r w:rsidR="00294D88" w:rsidRPr="00826898">
        <w:rPr>
          <w:b/>
          <w:bCs/>
          <w:color w:val="auto"/>
          <w:szCs w:val="24"/>
        </w:rPr>
        <w:t xml:space="preserve">. </w:t>
      </w:r>
      <w:r w:rsidR="00294D88" w:rsidRPr="00826898">
        <w:rPr>
          <w:bCs/>
          <w:color w:val="auto"/>
          <w:szCs w:val="24"/>
        </w:rPr>
        <w:t>Посещенията</w:t>
      </w:r>
      <w:r w:rsidR="00294D88" w:rsidRPr="00826898">
        <w:rPr>
          <w:b/>
          <w:bCs/>
          <w:color w:val="auto"/>
          <w:szCs w:val="24"/>
        </w:rPr>
        <w:t xml:space="preserve"> с други туристически цели са</w:t>
      </w:r>
      <w:r w:rsidR="007E068E" w:rsidRPr="007E068E">
        <w:rPr>
          <w:b/>
          <w:bCs/>
          <w:color w:val="auto"/>
          <w:szCs w:val="24"/>
        </w:rPr>
        <w:t xml:space="preserve"> </w:t>
      </w:r>
      <w:r w:rsidR="00E92B25" w:rsidRPr="00E92B25">
        <w:rPr>
          <w:b/>
          <w:bCs/>
          <w:color w:val="auto"/>
          <w:szCs w:val="24"/>
        </w:rPr>
        <w:t>481</w:t>
      </w:r>
      <w:r w:rsidR="003B12FB">
        <w:rPr>
          <w:b/>
          <w:color w:val="auto"/>
          <w:szCs w:val="24"/>
          <w:lang w:val="ru-RU"/>
        </w:rPr>
        <w:t> </w:t>
      </w:r>
      <w:r w:rsidR="00E92B25" w:rsidRPr="00E92B25">
        <w:rPr>
          <w:b/>
          <w:bCs/>
          <w:color w:val="auto"/>
          <w:szCs w:val="24"/>
        </w:rPr>
        <w:t>282</w:t>
      </w:r>
      <w:r w:rsidR="00294D88" w:rsidRPr="00826898">
        <w:rPr>
          <w:b/>
          <w:bCs/>
          <w:color w:val="auto"/>
          <w:szCs w:val="24"/>
          <w:lang w:val="ru-RU"/>
        </w:rPr>
        <w:t>.</w:t>
      </w:r>
    </w:p>
    <w:p w:rsidR="00294D88" w:rsidRPr="00826898" w:rsidRDefault="00294D88" w:rsidP="00034499">
      <w:pPr>
        <w:jc w:val="both"/>
        <w:rPr>
          <w:b/>
          <w:bCs/>
          <w:color w:val="auto"/>
          <w:szCs w:val="24"/>
        </w:rPr>
      </w:pPr>
      <w:r w:rsidRPr="00826898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826898">
        <w:rPr>
          <w:b/>
          <w:bCs/>
          <w:color w:val="auto"/>
          <w:szCs w:val="24"/>
        </w:rPr>
        <w:t xml:space="preserve"> </w:t>
      </w:r>
      <w:r w:rsidR="00034499" w:rsidRPr="00034499">
        <w:rPr>
          <w:b/>
          <w:bCs/>
          <w:color w:val="auto"/>
          <w:szCs w:val="24"/>
          <w:lang w:val="ru-RU"/>
        </w:rPr>
        <w:t>71,2</w:t>
      </w:r>
      <w:r w:rsidRPr="00826898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067075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>по цели през</w:t>
      </w:r>
      <w:r w:rsidR="00975FF9">
        <w:t xml:space="preserve"> периода </w:t>
      </w:r>
      <w:r w:rsidR="00C17EBD">
        <w:t>юни</w:t>
      </w:r>
      <w:r w:rsidR="007E26CC" w:rsidRPr="007E26CC">
        <w:t xml:space="preserve"> </w:t>
      </w:r>
      <w:r w:rsidR="00AB5C9D">
        <w:t>–</w:t>
      </w:r>
      <w:r w:rsidRPr="009B2C7E">
        <w:t xml:space="preserve"> </w:t>
      </w:r>
      <w:r w:rsidR="006C4791">
        <w:t>септември</w:t>
      </w:r>
      <w:r w:rsidR="007E26CC" w:rsidRPr="007E26CC">
        <w:t xml:space="preserve"> </w:t>
      </w:r>
      <w:r w:rsidR="00067075">
        <w:t>2019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21776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85617C">
        <w:rPr>
          <w:noProof/>
          <w:lang w:eastAsia="bg-BG"/>
        </w:rPr>
        <w:drawing>
          <wp:inline distT="0" distB="0" distL="0" distR="0">
            <wp:extent cx="3727450" cy="210820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Default="00294D88" w:rsidP="00C8260E">
      <w:pPr>
        <w:ind w:right="2976"/>
        <w:jc w:val="right"/>
        <w:rPr>
          <w:rStyle w:val="Emphasis"/>
          <w:rFonts w:cs="Calibri"/>
          <w:i w:val="0"/>
        </w:rPr>
      </w:pPr>
      <w:r w:rsidRPr="00E35903">
        <w:rPr>
          <w:rStyle w:val="Emphasis"/>
          <w:rFonts w:cs="Calibri"/>
        </w:rPr>
        <w:t>Източник: НСИ</w:t>
      </w:r>
    </w:p>
    <w:p w:rsidR="00505D15" w:rsidRDefault="00505D15" w:rsidP="00C8260E">
      <w:pPr>
        <w:ind w:right="2976"/>
        <w:jc w:val="right"/>
        <w:rPr>
          <w:rStyle w:val="Emphasis"/>
          <w:rFonts w:cs="Calibri"/>
          <w:i w:val="0"/>
        </w:rPr>
      </w:pPr>
    </w:p>
    <w:p w:rsidR="00505D15" w:rsidRPr="00505D15" w:rsidRDefault="00505D15" w:rsidP="00C8260E">
      <w:pPr>
        <w:ind w:right="2976"/>
        <w:jc w:val="right"/>
        <w:rPr>
          <w:rStyle w:val="Emphasis"/>
          <w:rFonts w:cs="Calibri"/>
          <w:i w:val="0"/>
        </w:rPr>
      </w:pPr>
    </w:p>
    <w:p w:rsidR="00294D88" w:rsidRPr="009B2C7E" w:rsidRDefault="00294D88" w:rsidP="00D645F3">
      <w:pPr>
        <w:pStyle w:val="Caption"/>
      </w:pPr>
      <w:r w:rsidRPr="009B2C7E"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1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>Туристически посещения на чужденци</w:t>
      </w:r>
      <w:r w:rsidR="00975FF9">
        <w:t xml:space="preserve"> </w:t>
      </w:r>
      <w:r w:rsidR="00C17EBD">
        <w:rPr>
          <w:szCs w:val="20"/>
        </w:rPr>
        <w:t>юни</w:t>
      </w:r>
      <w:r w:rsidR="007E26CC" w:rsidRPr="007E26CC">
        <w:rPr>
          <w:szCs w:val="20"/>
        </w:rPr>
        <w:t xml:space="preserve"> </w:t>
      </w:r>
      <w:r w:rsidR="00D645F3">
        <w:rPr>
          <w:szCs w:val="20"/>
        </w:rPr>
        <w:t>–</w:t>
      </w:r>
      <w:r w:rsidR="00C17EF9" w:rsidRPr="009D4D93">
        <w:rPr>
          <w:szCs w:val="20"/>
        </w:rPr>
        <w:t xml:space="preserve"> </w:t>
      </w:r>
      <w:r w:rsidR="006C4791">
        <w:rPr>
          <w:szCs w:val="20"/>
        </w:rPr>
        <w:t>септември</w:t>
      </w:r>
      <w:r w:rsidR="007E26CC" w:rsidRPr="007E26CC">
        <w:rPr>
          <w:szCs w:val="20"/>
        </w:rPr>
        <w:t xml:space="preserve"> </w:t>
      </w:r>
      <w:r w:rsidR="00D645F3">
        <w:t>2019</w:t>
      </w:r>
      <w:r w:rsidR="00FD7E5C">
        <w:t xml:space="preserve"> г.</w:t>
      </w:r>
      <w:r w:rsidRPr="009B2C7E">
        <w:t>/</w:t>
      </w:r>
      <w:r w:rsidR="00C17EBD">
        <w:t>юни</w:t>
      </w:r>
      <w:r w:rsidR="007E26CC" w:rsidRPr="007E26CC">
        <w:t xml:space="preserve"> </w:t>
      </w:r>
      <w:r w:rsidR="007E26CC">
        <w:t>–</w:t>
      </w:r>
      <w:r w:rsidR="005E2CD7">
        <w:t xml:space="preserve"> </w:t>
      </w:r>
      <w:r w:rsidR="006C4791">
        <w:t>септември</w:t>
      </w:r>
      <w:r w:rsidR="007E26CC" w:rsidRPr="007E26CC">
        <w:t xml:space="preserve"> </w:t>
      </w:r>
      <w:r w:rsidR="00D645F3">
        <w:t>2018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F551E8">
        <w:trPr>
          <w:trHeight w:val="18"/>
          <w:tblHeader/>
        </w:trPr>
        <w:tc>
          <w:tcPr>
            <w:tcW w:w="5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826898" w:rsidTr="00DE2A32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F95F86" w:rsidRDefault="00294D88" w:rsidP="001B4EE4">
            <w:pPr>
              <w:rPr>
                <w:b/>
                <w:color w:val="FFFFFF"/>
                <w:szCs w:val="24"/>
              </w:rPr>
            </w:pPr>
            <w:r w:rsidRPr="00F95F86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826898" w:rsidRDefault="00B818FD" w:rsidP="006055BD">
            <w:pPr>
              <w:jc w:val="right"/>
              <w:rPr>
                <w:b/>
                <w:color w:val="auto"/>
                <w:szCs w:val="24"/>
              </w:rPr>
            </w:pPr>
            <w:r w:rsidRPr="00B818FD">
              <w:rPr>
                <w:b/>
                <w:color w:val="auto"/>
                <w:szCs w:val="24"/>
              </w:rPr>
              <w:t>5 401 139</w:t>
            </w:r>
          </w:p>
        </w:tc>
        <w:tc>
          <w:tcPr>
            <w:tcW w:w="1608" w:type="dxa"/>
            <w:shd w:val="clear" w:color="auto" w:fill="006600"/>
          </w:tcPr>
          <w:p w:rsidR="00294D88" w:rsidRPr="00826898" w:rsidRDefault="00B818FD" w:rsidP="00210D61">
            <w:pPr>
              <w:jc w:val="right"/>
              <w:rPr>
                <w:b/>
                <w:color w:val="auto"/>
                <w:szCs w:val="24"/>
              </w:rPr>
            </w:pPr>
            <w:r w:rsidRPr="00B818FD">
              <w:rPr>
                <w:b/>
                <w:color w:val="auto"/>
                <w:szCs w:val="24"/>
              </w:rPr>
              <w:t>-66 159</w:t>
            </w:r>
          </w:p>
        </w:tc>
        <w:tc>
          <w:tcPr>
            <w:tcW w:w="1315" w:type="dxa"/>
            <w:shd w:val="clear" w:color="auto" w:fill="006600"/>
          </w:tcPr>
          <w:p w:rsidR="00294D88" w:rsidRPr="00826898" w:rsidRDefault="00B818FD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B818FD">
              <w:rPr>
                <w:b/>
                <w:color w:val="auto"/>
                <w:szCs w:val="24"/>
                <w:lang w:val="en-US"/>
              </w:rPr>
              <w:t>-1,2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608 972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-87 797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-12,6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582 293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-87 462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-13,1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503 144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38 597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360 619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74 078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25,9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355 677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-66 737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338 823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-12 360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-3,5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290 420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39 983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244 260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16 301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197 692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22 693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13,0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7E26CC" w:rsidP="004524D4">
            <w:pPr>
              <w:rPr>
                <w:sz w:val="22"/>
              </w:rPr>
            </w:pPr>
            <w:r>
              <w:rPr>
                <w:sz w:val="22"/>
              </w:rPr>
              <w:t xml:space="preserve">СЕВЕРНА </w:t>
            </w:r>
            <w:r w:rsidR="004524D4">
              <w:rPr>
                <w:sz w:val="22"/>
              </w:rPr>
              <w:t>МАКЕДОНИЯ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185 972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-4 603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-2,4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169 381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-10 425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 xml:space="preserve">СЪРБИЯ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154 071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-12 149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-7,3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149 252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1 607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140 402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-3 419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-2,4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101 064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6 987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99 114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19 499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24,5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89 853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6 059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70 924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-1 478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-2,0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68 520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-4 621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-6,3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66 240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14 305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63 670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-3 049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-4,6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56 318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54 756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2 276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36 696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-16 355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-30,8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35 745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-4 668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-11,6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28 078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37,1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25 436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-4 167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-14,1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24 914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25,5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24 371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-12 150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-33,3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23 001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5 186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29,1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20 774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-5 099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-19,7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16 933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14 863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3 405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29,7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14 861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13,4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12 316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3 797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12 074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11 198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-967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-7,9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10 261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ИРАН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10 089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-2 181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9 251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АВСТРАЛИЯ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8 712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-1,3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-1 926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ГРУЗИЯ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8 011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КАЗАХСТАН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6 549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-381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-5,5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ИНДИЯ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5 396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-17,4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ФИЛИПИНИТЕ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4 969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-591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-10,6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4 894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4 557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-918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-16,8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20,2</w:t>
            </w:r>
          </w:p>
        </w:tc>
      </w:tr>
      <w:tr w:rsidR="004524D4" w:rsidRPr="00826898" w:rsidTr="00F551E8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4" w:rsidRPr="00AB33F1" w:rsidRDefault="004524D4" w:rsidP="004524D4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D4" w:rsidRDefault="004524D4" w:rsidP="004524D4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3</w:t>
      </w:r>
      <w:r w:rsidR="00D13933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AB5C9D" w:rsidRDefault="0021776A" w:rsidP="00C8260E">
      <w:r w:rsidRPr="0085617C">
        <w:rPr>
          <w:noProof/>
          <w:lang w:eastAsia="bg-BG"/>
        </w:rPr>
        <w:drawing>
          <wp:inline distT="0" distB="0" distL="0" distR="0">
            <wp:extent cx="5873750" cy="4210050"/>
            <wp:effectExtent l="0" t="0" r="1270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7E26CC" w:rsidRPr="007E26CC" w:rsidRDefault="007E26CC" w:rsidP="00C8260E">
      <w:pPr>
        <w:jc w:val="right"/>
        <w:rPr>
          <w:rStyle w:val="Emphasis"/>
          <w:rFonts w:cs="Calibri"/>
          <w:sz w:val="24"/>
          <w:szCs w:val="24"/>
        </w:rPr>
      </w:pPr>
    </w:p>
    <w:p w:rsidR="00294D88" w:rsidRDefault="00294D88" w:rsidP="00303CF1">
      <w:pPr>
        <w:pStyle w:val="Heading1"/>
        <w:ind w:left="425" w:hanging="425"/>
      </w:pPr>
      <w:r>
        <w:t xml:space="preserve">Европейски съюз </w:t>
      </w:r>
    </w:p>
    <w:p w:rsidR="00294D88" w:rsidRPr="00826898" w:rsidRDefault="00132B9F" w:rsidP="007E26CC">
      <w:pPr>
        <w:jc w:val="both"/>
        <w:rPr>
          <w:b/>
          <w:color w:val="auto"/>
        </w:rPr>
      </w:pPr>
      <w:r w:rsidRPr="00826898">
        <w:rPr>
          <w:color w:val="auto"/>
        </w:rPr>
        <w:t>През</w:t>
      </w:r>
      <w:r w:rsidR="003334C5" w:rsidRPr="00826898">
        <w:rPr>
          <w:color w:val="auto"/>
        </w:rPr>
        <w:t xml:space="preserve"> </w:t>
      </w:r>
      <w:r w:rsidR="00B34E4E" w:rsidRPr="00826898">
        <w:rPr>
          <w:color w:val="auto"/>
        </w:rPr>
        <w:t xml:space="preserve">периода </w:t>
      </w:r>
      <w:r w:rsidR="00C17EBD">
        <w:rPr>
          <w:b/>
          <w:bCs/>
          <w:color w:val="auto"/>
        </w:rPr>
        <w:t>юни</w:t>
      </w:r>
      <w:r w:rsidR="007E26CC">
        <w:rPr>
          <w:b/>
          <w:bCs/>
          <w:color w:val="auto"/>
        </w:rPr>
        <w:t xml:space="preserve"> </w:t>
      </w:r>
      <w:r w:rsidR="007E26CC">
        <w:rPr>
          <w:b/>
          <w:color w:val="auto"/>
        </w:rPr>
        <w:t>–</w:t>
      </w:r>
      <w:r w:rsidR="009D4D93" w:rsidRPr="00EC474E">
        <w:rPr>
          <w:b/>
          <w:color w:val="auto"/>
        </w:rPr>
        <w:t xml:space="preserve"> </w:t>
      </w:r>
      <w:r w:rsidR="006C4791">
        <w:rPr>
          <w:b/>
          <w:bCs/>
          <w:color w:val="auto"/>
        </w:rPr>
        <w:t>септември</w:t>
      </w:r>
      <w:r w:rsidR="007E26CC">
        <w:rPr>
          <w:b/>
          <w:bCs/>
          <w:color w:val="auto"/>
        </w:rPr>
        <w:t xml:space="preserve"> </w:t>
      </w:r>
      <w:r w:rsidR="00294D88" w:rsidRPr="00826898">
        <w:rPr>
          <w:b/>
          <w:color w:val="auto"/>
        </w:rPr>
        <w:t>20</w:t>
      </w:r>
      <w:r w:rsidR="009F0B16">
        <w:rPr>
          <w:b/>
          <w:color w:val="auto"/>
        </w:rPr>
        <w:t xml:space="preserve">19 </w:t>
      </w:r>
      <w:r w:rsidR="00294D88" w:rsidRPr="00826898">
        <w:rPr>
          <w:b/>
          <w:color w:val="auto"/>
        </w:rPr>
        <w:t>г.</w:t>
      </w:r>
      <w:r w:rsidR="00294D88" w:rsidRPr="00826898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="00294D88" w:rsidRPr="00826898">
        <w:rPr>
          <w:b/>
          <w:color w:val="auto"/>
        </w:rPr>
        <w:t>относителен дял</w:t>
      </w:r>
      <w:r w:rsidR="004E1416">
        <w:rPr>
          <w:b/>
          <w:color w:val="auto"/>
        </w:rPr>
        <w:t xml:space="preserve"> </w:t>
      </w:r>
      <w:r w:rsidR="003B5ADE" w:rsidRPr="003B5ADE">
        <w:rPr>
          <w:b/>
          <w:color w:val="auto"/>
        </w:rPr>
        <w:t>63,2</w:t>
      </w:r>
      <w:r w:rsidR="00294D88" w:rsidRPr="00826898">
        <w:rPr>
          <w:b/>
          <w:color w:val="auto"/>
        </w:rPr>
        <w:t>%</w:t>
      </w:r>
      <w:r w:rsidR="00294D88" w:rsidRPr="00826898">
        <w:rPr>
          <w:color w:val="auto"/>
          <w:lang w:val="ru-RU"/>
        </w:rPr>
        <w:t xml:space="preserve"> </w:t>
      </w:r>
      <w:r w:rsidR="00294D88" w:rsidRPr="00826898">
        <w:rPr>
          <w:bCs/>
          <w:color w:val="auto"/>
          <w:lang w:val="ru-RU"/>
        </w:rPr>
        <w:t>и</w:t>
      </w:r>
      <w:r w:rsidR="00294D88" w:rsidRPr="00826898">
        <w:rPr>
          <w:b/>
          <w:color w:val="auto"/>
        </w:rPr>
        <w:t xml:space="preserve"> общ обем</w:t>
      </w:r>
      <w:r w:rsidR="00294D88" w:rsidRPr="00826898">
        <w:rPr>
          <w:color w:val="auto"/>
        </w:rPr>
        <w:t xml:space="preserve"> </w:t>
      </w:r>
      <w:r w:rsidR="00294D88" w:rsidRPr="00826898">
        <w:rPr>
          <w:b/>
          <w:color w:val="auto"/>
        </w:rPr>
        <w:t>от</w:t>
      </w:r>
      <w:r w:rsidR="009F0B16">
        <w:rPr>
          <w:b/>
          <w:color w:val="auto"/>
        </w:rPr>
        <w:t xml:space="preserve"> </w:t>
      </w:r>
      <w:r w:rsidR="006B7E47" w:rsidRPr="006B7E47">
        <w:rPr>
          <w:b/>
          <w:color w:val="auto"/>
        </w:rPr>
        <w:t>3</w:t>
      </w:r>
      <w:r w:rsidR="007E26CC">
        <w:rPr>
          <w:b/>
          <w:color w:val="auto"/>
        </w:rPr>
        <w:t> </w:t>
      </w:r>
      <w:r w:rsidR="006B7E47" w:rsidRPr="006B7E47">
        <w:rPr>
          <w:b/>
          <w:color w:val="auto"/>
        </w:rPr>
        <w:t>412</w:t>
      </w:r>
      <w:r w:rsidR="007E26CC">
        <w:rPr>
          <w:b/>
          <w:color w:val="auto"/>
        </w:rPr>
        <w:t> </w:t>
      </w:r>
      <w:r w:rsidR="006B7E47" w:rsidRPr="006B7E47">
        <w:rPr>
          <w:b/>
          <w:color w:val="auto"/>
        </w:rPr>
        <w:t>682</w:t>
      </w:r>
      <w:r w:rsidR="007E26CC">
        <w:rPr>
          <w:b/>
          <w:color w:val="auto"/>
        </w:rPr>
        <w:t xml:space="preserve"> </w:t>
      </w:r>
      <w:r w:rsidR="00294D88" w:rsidRPr="00826898">
        <w:rPr>
          <w:b/>
          <w:color w:val="auto"/>
        </w:rPr>
        <w:t>туристически посещения</w:t>
      </w:r>
      <w:r w:rsidR="00294D88" w:rsidRPr="00826898">
        <w:rPr>
          <w:color w:val="auto"/>
        </w:rPr>
        <w:t xml:space="preserve"> </w:t>
      </w:r>
      <w:r w:rsidR="00294D88" w:rsidRPr="00826898">
        <w:rPr>
          <w:b/>
          <w:color w:val="auto"/>
          <w:lang w:val="ru-RU"/>
        </w:rPr>
        <w:t>(</w:t>
      </w:r>
      <w:r w:rsidR="00281930">
        <w:rPr>
          <w:b/>
          <w:color w:val="auto"/>
        </w:rPr>
        <w:t xml:space="preserve">спад </w:t>
      </w:r>
      <w:r w:rsidR="00294D88" w:rsidRPr="00826898">
        <w:rPr>
          <w:b/>
          <w:color w:val="auto"/>
          <w:lang w:val="ru-RU"/>
        </w:rPr>
        <w:t>от</w:t>
      </w:r>
      <w:r w:rsidR="00026B30" w:rsidRPr="00026B30">
        <w:rPr>
          <w:b/>
          <w:color w:val="auto"/>
        </w:rPr>
        <w:t xml:space="preserve"> </w:t>
      </w:r>
      <w:r w:rsidR="006B7E47" w:rsidRPr="006B7E47">
        <w:rPr>
          <w:b/>
          <w:color w:val="auto"/>
        </w:rPr>
        <w:t>-2,3</w:t>
      </w:r>
      <w:r w:rsidR="00294D88" w:rsidRPr="00826898">
        <w:rPr>
          <w:b/>
          <w:color w:val="auto"/>
        </w:rPr>
        <w:t>%</w:t>
      </w:r>
      <w:r w:rsidR="00294D88" w:rsidRPr="00826898">
        <w:rPr>
          <w:b/>
          <w:color w:val="auto"/>
          <w:lang w:val="ru-RU"/>
        </w:rPr>
        <w:t>)</w:t>
      </w:r>
      <w:r w:rsidR="00294D88" w:rsidRPr="00826898">
        <w:rPr>
          <w:b/>
          <w:color w:val="auto"/>
        </w:rPr>
        <w:t>.</w:t>
      </w:r>
    </w:p>
    <w:p w:rsidR="0029123C" w:rsidRPr="00826898" w:rsidRDefault="0029123C" w:rsidP="0081188A">
      <w:pPr>
        <w:jc w:val="both"/>
        <w:rPr>
          <w:b/>
          <w:color w:val="auto"/>
        </w:rPr>
      </w:pPr>
    </w:p>
    <w:p w:rsidR="00294D88" w:rsidRDefault="00294D88" w:rsidP="00132B9F">
      <w:pPr>
        <w:pStyle w:val="Caption"/>
      </w:pPr>
      <w:r w:rsidRPr="009B2C7E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B34E4E">
        <w:t xml:space="preserve"> </w:t>
      </w:r>
      <w:r w:rsidR="00C17EBD">
        <w:t>юни</w:t>
      </w:r>
      <w:r w:rsidR="00684E7A">
        <w:t xml:space="preserve"> –</w:t>
      </w:r>
      <w:r w:rsidR="00A64643" w:rsidRPr="00A64643">
        <w:t xml:space="preserve"> </w:t>
      </w:r>
      <w:r w:rsidR="006C4791">
        <w:t>септември</w:t>
      </w:r>
      <w:r w:rsidR="00684E7A">
        <w:t xml:space="preserve"> </w:t>
      </w:r>
      <w:r w:rsidR="005E616B">
        <w:t>2019</w:t>
      </w:r>
      <w:r w:rsidRPr="009B2C7E">
        <w:t xml:space="preserve"> </w:t>
      </w:r>
      <w:r w:rsidR="0081188A">
        <w:t>г.</w:t>
      </w:r>
      <w:r w:rsidRPr="009B2C7E">
        <w:t>/</w:t>
      </w:r>
      <w:r w:rsidR="00C17EBD">
        <w:t>юни</w:t>
      </w:r>
      <w:r w:rsidR="00684E7A">
        <w:t xml:space="preserve"> –</w:t>
      </w:r>
      <w:r w:rsidR="00B34E4E">
        <w:t xml:space="preserve"> </w:t>
      </w:r>
      <w:r w:rsidR="006C4791">
        <w:t>септември</w:t>
      </w:r>
      <w:r w:rsidR="00684E7A">
        <w:t xml:space="preserve"> </w:t>
      </w:r>
      <w:r w:rsidR="005E616B">
        <w:t>2018</w:t>
      </w:r>
      <w:r w:rsidRPr="009B2C7E"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9938A7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4E1416">
        <w:trPr>
          <w:trHeight w:val="2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E236B0" w:rsidP="00BA0056">
            <w:pPr>
              <w:rPr>
                <w:b/>
                <w:color w:val="FFFFFF"/>
                <w:szCs w:val="24"/>
              </w:rPr>
            </w:pPr>
            <w:r w:rsidRPr="00E236B0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9938A7" w:rsidP="00BA0056">
            <w:pPr>
              <w:jc w:val="right"/>
              <w:rPr>
                <w:b/>
                <w:color w:val="FFFFFF"/>
                <w:szCs w:val="24"/>
              </w:rPr>
            </w:pPr>
            <w:r w:rsidRPr="009938A7">
              <w:rPr>
                <w:b/>
                <w:color w:val="FFFFFF"/>
                <w:szCs w:val="24"/>
              </w:rPr>
              <w:t>3 412 682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9938A7" w:rsidP="00BA0056">
            <w:pPr>
              <w:jc w:val="right"/>
              <w:rPr>
                <w:b/>
                <w:color w:val="FFFFFF"/>
                <w:szCs w:val="24"/>
              </w:rPr>
            </w:pPr>
            <w:r w:rsidRPr="009938A7">
              <w:rPr>
                <w:b/>
                <w:color w:val="FFFFFF"/>
                <w:szCs w:val="24"/>
              </w:rPr>
              <w:t>-79 260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  <w:vAlign w:val="bottom"/>
          </w:tcPr>
          <w:p w:rsidR="00294D88" w:rsidRPr="003C737A" w:rsidRDefault="009938A7" w:rsidP="00BA0056">
            <w:pPr>
              <w:jc w:val="right"/>
              <w:rPr>
                <w:b/>
                <w:color w:val="FFFFFF"/>
                <w:szCs w:val="24"/>
              </w:rPr>
            </w:pPr>
            <w:r w:rsidRPr="009938A7">
              <w:rPr>
                <w:b/>
                <w:color w:val="FFFFFF"/>
                <w:szCs w:val="24"/>
              </w:rPr>
              <w:t>-2,3</w:t>
            </w:r>
          </w:p>
        </w:tc>
      </w:tr>
      <w:tr w:rsidR="009938A7" w:rsidRPr="00826898" w:rsidTr="009938A7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608 972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-87 797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-12,6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582 293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-87 462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-13,1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503 144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38 597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338 823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-3,5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290 420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169 381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-10 425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-5,8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149 252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101 064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6 987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99 114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24,5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89 853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6 059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70 924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-2,0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66 240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63 670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-4,6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54 756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-11,6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28 078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37,1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-14,1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24 371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-33,3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5 186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29,1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20 774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-19,7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29,7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-18,8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</w:tr>
      <w:tr w:rsidR="009938A7" w:rsidRPr="00826898" w:rsidTr="009938A7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7" w:rsidRPr="00826898" w:rsidRDefault="009938A7" w:rsidP="009938A7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8A7" w:rsidRDefault="009938A7" w:rsidP="009938A7">
            <w:pPr>
              <w:jc w:val="right"/>
              <w:rPr>
                <w:sz w:val="22"/>
              </w:rPr>
            </w:pPr>
            <w:r>
              <w:rPr>
                <w:sz w:val="22"/>
              </w:rPr>
              <w:t>-20,2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Pr="00F73256" w:rsidRDefault="00294D88" w:rsidP="005744B3">
      <w:pPr>
        <w:rPr>
          <w:rFonts w:ascii="Times New Roman" w:hAnsi="Times New Roman" w:cs="Times New Roman"/>
          <w:lang w:val="en-US"/>
        </w:rPr>
      </w:pPr>
    </w:p>
    <w:p w:rsidR="00294D88" w:rsidRDefault="00294D88" w:rsidP="00EC474E">
      <w:pPr>
        <w:pStyle w:val="Heading1"/>
      </w:pPr>
      <w:r>
        <w:br w:type="page"/>
      </w: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EC474E" w:rsidRPr="00826898" w:rsidRDefault="00684E7A" w:rsidP="00684E7A">
      <w:pPr>
        <w:jc w:val="both"/>
        <w:rPr>
          <w:color w:val="auto"/>
        </w:rPr>
      </w:pPr>
      <w:r>
        <w:rPr>
          <w:color w:val="auto"/>
        </w:rPr>
        <w:t xml:space="preserve">За периода </w:t>
      </w:r>
      <w:r w:rsidR="00F73256" w:rsidRPr="00F73256">
        <w:rPr>
          <w:color w:val="auto"/>
        </w:rPr>
        <w:t>юни – август 2019 г. приходите от меж</w:t>
      </w:r>
      <w:r>
        <w:rPr>
          <w:color w:val="auto"/>
        </w:rPr>
        <w:t xml:space="preserve">дународен туризъм възлизат на близо 2 млрд. евро, като спадът спрямо периода юни - </w:t>
      </w:r>
      <w:r w:rsidR="00F73256" w:rsidRPr="00F73256">
        <w:rPr>
          <w:color w:val="auto"/>
        </w:rPr>
        <w:t>август 2018 г. е -1,8%</w:t>
      </w:r>
      <w:r>
        <w:rPr>
          <w:color w:val="auto"/>
        </w:rPr>
        <w:t>.</w:t>
      </w:r>
    </w:p>
    <w:p w:rsidR="00684E7A" w:rsidRDefault="00684E7A" w:rsidP="00662155">
      <w:pPr>
        <w:rPr>
          <w:color w:val="auto"/>
        </w:rPr>
      </w:pPr>
    </w:p>
    <w:p w:rsidR="00294D88" w:rsidRDefault="00294D88" w:rsidP="00662155">
      <w:pPr>
        <w:rPr>
          <w:color w:val="auto"/>
        </w:rPr>
      </w:pPr>
      <w:r w:rsidRPr="00826898">
        <w:rPr>
          <w:color w:val="auto"/>
        </w:rPr>
        <w:t xml:space="preserve">3.2 Данни за изминалата година </w:t>
      </w:r>
    </w:p>
    <w:p w:rsidR="00D20C6D" w:rsidRPr="00D20C6D" w:rsidRDefault="00D20C6D" w:rsidP="00D20C6D">
      <w:pPr>
        <w:jc w:val="both"/>
        <w:rPr>
          <w:color w:val="auto"/>
          <w:lang w:val="ru-RU"/>
        </w:rPr>
      </w:pPr>
      <w:r w:rsidRPr="00D20C6D">
        <w:rPr>
          <w:color w:val="auto"/>
          <w:lang w:val="ru-RU"/>
        </w:rPr>
        <w:t>Приходите от международен туризъм възлизат на над 3,7 млрд. eвро за 2018 г. Ръстът спрямо 2017 г. е 6,5%.</w:t>
      </w:r>
    </w:p>
    <w:p w:rsidR="00C051BD" w:rsidRPr="00D20C6D" w:rsidRDefault="00C051BD" w:rsidP="00A96FFB">
      <w:pPr>
        <w:jc w:val="both"/>
        <w:rPr>
          <w:color w:val="auto"/>
          <w:lang w:val="ru-RU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4</w:t>
      </w:r>
      <w:r w:rsidR="00D13933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21776A" w:rsidP="00C051BD">
      <w:pPr>
        <w:rPr>
          <w:lang w:val="en-US"/>
        </w:rPr>
      </w:pPr>
      <w:r w:rsidRPr="00A83C3F">
        <w:rPr>
          <w:noProof/>
          <w:lang w:eastAsia="bg-BG"/>
        </w:rPr>
        <w:drawing>
          <wp:inline distT="0" distB="0" distL="0" distR="0">
            <wp:extent cx="5346700" cy="2743200"/>
            <wp:effectExtent l="0" t="0" r="0" b="0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Default="00294D88" w:rsidP="008C3705">
      <w:pPr>
        <w:ind w:left="426"/>
        <w:jc w:val="right"/>
        <w:rPr>
          <w:rStyle w:val="Emphasis"/>
          <w:rFonts w:cs="Calibri"/>
          <w:i w:val="0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</w:p>
    <w:p w:rsidR="00EC474E" w:rsidRPr="00EC474E" w:rsidRDefault="00EC474E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94D88" w:rsidRPr="00EB493E" w:rsidRDefault="00294D88" w:rsidP="00684E7A">
      <w:pPr>
        <w:jc w:val="both"/>
        <w:rPr>
          <w:color w:val="auto"/>
          <w:szCs w:val="24"/>
          <w:lang w:val="ru-RU"/>
        </w:rPr>
      </w:pPr>
      <w:r w:rsidRPr="009B38B2">
        <w:rPr>
          <w:color w:val="auto"/>
          <w:szCs w:val="24"/>
        </w:rPr>
        <w:t>През</w:t>
      </w:r>
      <w:r w:rsidR="00A60FCA" w:rsidRPr="009B38B2">
        <w:rPr>
          <w:color w:val="auto"/>
          <w:szCs w:val="24"/>
          <w:lang w:val="ru-RU"/>
        </w:rPr>
        <w:t xml:space="preserve"> </w:t>
      </w:r>
      <w:r w:rsidR="0073004B">
        <w:rPr>
          <w:color w:val="auto"/>
          <w:szCs w:val="24"/>
          <w:lang w:val="ru-RU"/>
        </w:rPr>
        <w:t xml:space="preserve">периода </w:t>
      </w:r>
      <w:r w:rsidR="00C17EBD">
        <w:rPr>
          <w:b/>
          <w:bCs/>
          <w:color w:val="auto"/>
          <w:szCs w:val="24"/>
        </w:rPr>
        <w:t>юни</w:t>
      </w:r>
      <w:r w:rsidR="00684E7A">
        <w:rPr>
          <w:b/>
          <w:bCs/>
          <w:color w:val="auto"/>
          <w:szCs w:val="24"/>
        </w:rPr>
        <w:t xml:space="preserve"> </w:t>
      </w:r>
      <w:r w:rsidR="009D4D93">
        <w:rPr>
          <w:b/>
          <w:bCs/>
          <w:color w:val="auto"/>
          <w:szCs w:val="24"/>
          <w:lang w:val="ru-RU"/>
        </w:rPr>
        <w:t>–</w:t>
      </w:r>
      <w:r w:rsidR="0073004B" w:rsidRPr="0073004B">
        <w:rPr>
          <w:b/>
          <w:bCs/>
          <w:color w:val="auto"/>
          <w:szCs w:val="24"/>
          <w:lang w:val="ru-RU"/>
        </w:rPr>
        <w:t xml:space="preserve"> </w:t>
      </w:r>
      <w:r w:rsidR="006C4791">
        <w:rPr>
          <w:b/>
          <w:bCs/>
          <w:color w:val="auto"/>
          <w:szCs w:val="24"/>
        </w:rPr>
        <w:t>септември</w:t>
      </w:r>
      <w:r w:rsidR="00684E7A">
        <w:rPr>
          <w:b/>
          <w:bCs/>
          <w:color w:val="auto"/>
          <w:szCs w:val="24"/>
        </w:rPr>
        <w:t xml:space="preserve"> </w:t>
      </w:r>
      <w:r w:rsidR="00D20C6D">
        <w:rPr>
          <w:b/>
          <w:bCs/>
          <w:color w:val="auto"/>
          <w:szCs w:val="24"/>
        </w:rPr>
        <w:t>2019</w:t>
      </w:r>
      <w:r w:rsidRPr="009B38B2">
        <w:rPr>
          <w:b/>
          <w:color w:val="auto"/>
          <w:szCs w:val="24"/>
        </w:rPr>
        <w:t xml:space="preserve"> г</w:t>
      </w:r>
      <w:r w:rsidRPr="009B38B2">
        <w:rPr>
          <w:color w:val="auto"/>
          <w:szCs w:val="24"/>
        </w:rPr>
        <w:t>.</w:t>
      </w:r>
      <w:r w:rsidRPr="009B38B2">
        <w:rPr>
          <w:color w:val="auto"/>
          <w:szCs w:val="24"/>
          <w:lang w:val="ru-RU"/>
        </w:rPr>
        <w:t xml:space="preserve"> </w:t>
      </w:r>
      <w:r w:rsidR="00132B9F">
        <w:rPr>
          <w:color w:val="auto"/>
          <w:szCs w:val="24"/>
        </w:rPr>
        <w:t>българските</w:t>
      </w:r>
      <w:r w:rsidR="009D4D93" w:rsidRPr="009D4D93">
        <w:rPr>
          <w:color w:val="auto"/>
          <w:szCs w:val="24"/>
          <w:lang w:val="ru-RU"/>
        </w:rPr>
        <w:t xml:space="preserve"> </w:t>
      </w:r>
      <w:r w:rsidR="00132B9F">
        <w:rPr>
          <w:color w:val="auto"/>
          <w:szCs w:val="24"/>
        </w:rPr>
        <w:t>граждани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са</w:t>
      </w:r>
      <w:r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реализирали</w:t>
      </w:r>
      <w:r w:rsidR="009D4D93" w:rsidRPr="009D4D93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общо</w:t>
      </w:r>
      <w:r w:rsidR="00E236B0" w:rsidRPr="00E236B0">
        <w:rPr>
          <w:color w:val="auto"/>
          <w:szCs w:val="24"/>
          <w:lang w:val="ru-RU"/>
        </w:rPr>
        <w:t xml:space="preserve"> </w:t>
      </w:r>
      <w:r w:rsidR="008D4D8F" w:rsidRPr="008D4D8F">
        <w:rPr>
          <w:color w:val="auto"/>
          <w:szCs w:val="24"/>
          <w:lang w:val="ru-RU"/>
        </w:rPr>
        <w:t>2</w:t>
      </w:r>
      <w:r w:rsidR="00684E7A">
        <w:rPr>
          <w:b/>
          <w:color w:val="auto"/>
        </w:rPr>
        <w:t> </w:t>
      </w:r>
      <w:r w:rsidR="008D4D8F" w:rsidRPr="008D4D8F">
        <w:rPr>
          <w:color w:val="auto"/>
          <w:szCs w:val="24"/>
          <w:lang w:val="ru-RU"/>
        </w:rPr>
        <w:t>905</w:t>
      </w:r>
      <w:r w:rsidR="00684E7A">
        <w:rPr>
          <w:b/>
          <w:color w:val="auto"/>
        </w:rPr>
        <w:t> </w:t>
      </w:r>
      <w:r w:rsidR="008D4D8F" w:rsidRPr="008D4D8F">
        <w:rPr>
          <w:color w:val="auto"/>
          <w:szCs w:val="24"/>
          <w:lang w:val="ru-RU"/>
        </w:rPr>
        <w:t>531</w:t>
      </w:r>
      <w:r w:rsidR="00684E7A">
        <w:rPr>
          <w:color w:val="auto"/>
          <w:szCs w:val="24"/>
          <w:lang w:val="ru-RU"/>
        </w:rPr>
        <w:t xml:space="preserve"> </w:t>
      </w:r>
      <w:r w:rsidRPr="009B38B2">
        <w:rPr>
          <w:b/>
          <w:color w:val="auto"/>
          <w:szCs w:val="24"/>
        </w:rPr>
        <w:t xml:space="preserve">пътувания </w:t>
      </w:r>
      <w:r w:rsidRPr="009B38B2">
        <w:rPr>
          <w:color w:val="auto"/>
          <w:szCs w:val="24"/>
        </w:rPr>
        <w:t xml:space="preserve">в чужбина по всички видове цели. </w:t>
      </w:r>
      <w:r w:rsidRPr="009B38B2">
        <w:rPr>
          <w:b/>
          <w:color w:val="auto"/>
          <w:szCs w:val="24"/>
        </w:rPr>
        <w:t>Увеличението</w:t>
      </w:r>
      <w:r w:rsidRPr="009B38B2">
        <w:rPr>
          <w:color w:val="auto"/>
          <w:szCs w:val="24"/>
        </w:rPr>
        <w:t xml:space="preserve"> спрямо </w:t>
      </w:r>
      <w:r w:rsidR="00C17EBD">
        <w:rPr>
          <w:color w:val="auto"/>
          <w:szCs w:val="24"/>
        </w:rPr>
        <w:t>юни</w:t>
      </w:r>
      <w:r w:rsidR="00684E7A">
        <w:rPr>
          <w:color w:val="auto"/>
          <w:szCs w:val="24"/>
        </w:rPr>
        <w:t xml:space="preserve"> –</w:t>
      </w:r>
      <w:r w:rsidR="0073004B">
        <w:rPr>
          <w:color w:val="auto"/>
          <w:szCs w:val="24"/>
        </w:rPr>
        <w:t xml:space="preserve"> </w:t>
      </w:r>
      <w:r w:rsidR="006C4791">
        <w:rPr>
          <w:color w:val="auto"/>
          <w:szCs w:val="24"/>
        </w:rPr>
        <w:t>септември</w:t>
      </w:r>
      <w:r w:rsidR="00684E7A">
        <w:rPr>
          <w:color w:val="auto"/>
          <w:szCs w:val="24"/>
        </w:rPr>
        <w:t xml:space="preserve"> </w:t>
      </w:r>
      <w:r w:rsidR="00865EB1">
        <w:rPr>
          <w:bCs/>
          <w:color w:val="auto"/>
          <w:szCs w:val="24"/>
        </w:rPr>
        <w:t>2018</w:t>
      </w:r>
      <w:r w:rsidRPr="009B38B2">
        <w:rPr>
          <w:bCs/>
          <w:color w:val="auto"/>
          <w:szCs w:val="24"/>
        </w:rPr>
        <w:t xml:space="preserve"> </w:t>
      </w:r>
      <w:r w:rsidRPr="009B38B2">
        <w:rPr>
          <w:color w:val="auto"/>
          <w:szCs w:val="24"/>
        </w:rPr>
        <w:t xml:space="preserve">г. </w:t>
      </w:r>
      <w:r w:rsidRPr="009B38B2">
        <w:rPr>
          <w:b/>
          <w:color w:val="auto"/>
          <w:szCs w:val="24"/>
        </w:rPr>
        <w:t>е</w:t>
      </w:r>
      <w:r w:rsidR="00D20C6D" w:rsidRPr="006C4791">
        <w:rPr>
          <w:b/>
          <w:color w:val="auto"/>
          <w:szCs w:val="24"/>
        </w:rPr>
        <w:t xml:space="preserve"> </w:t>
      </w:r>
      <w:r w:rsidR="008D4D8F" w:rsidRPr="008D4D8F">
        <w:rPr>
          <w:b/>
          <w:color w:val="auto"/>
          <w:szCs w:val="24"/>
        </w:rPr>
        <w:t>4,7</w:t>
      </w:r>
      <w:r w:rsidRPr="009B38B2">
        <w:rPr>
          <w:b/>
          <w:color w:val="auto"/>
          <w:szCs w:val="24"/>
        </w:rPr>
        <w:t xml:space="preserve">%. </w:t>
      </w: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D20C6D" w:rsidRDefault="00D20C6D" w:rsidP="00957863">
      <w:pPr>
        <w:jc w:val="both"/>
        <w:rPr>
          <w:b/>
          <w:color w:val="auto"/>
          <w:szCs w:val="24"/>
        </w:rPr>
      </w:pPr>
    </w:p>
    <w:p w:rsidR="00D20C6D" w:rsidRDefault="00D20C6D" w:rsidP="00957863">
      <w:pPr>
        <w:jc w:val="both"/>
        <w:rPr>
          <w:b/>
          <w:color w:val="auto"/>
          <w:szCs w:val="24"/>
        </w:rPr>
      </w:pPr>
    </w:p>
    <w:p w:rsidR="00505D15" w:rsidRDefault="00505D15" w:rsidP="00957863">
      <w:pPr>
        <w:jc w:val="both"/>
        <w:rPr>
          <w:b/>
          <w:color w:val="auto"/>
          <w:szCs w:val="24"/>
        </w:rPr>
      </w:pPr>
    </w:p>
    <w:p w:rsidR="00505D15" w:rsidRDefault="00505D15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294D88" w:rsidRDefault="00294D88" w:rsidP="00684E7A">
      <w:pPr>
        <w:pStyle w:val="Caption"/>
      </w:pPr>
      <w:r w:rsidRPr="001B4EE4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3</w:t>
      </w:r>
      <w:r w:rsidR="00D13933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132B9F">
        <w:t>граждани в чужбина</w:t>
      </w:r>
      <w:r w:rsidR="00A32A45">
        <w:t xml:space="preserve"> </w:t>
      </w:r>
      <w:r w:rsidR="00C17EBD">
        <w:t>юни</w:t>
      </w:r>
      <w:r w:rsidR="00684E7A">
        <w:t>–</w:t>
      </w:r>
      <w:r w:rsidR="006C4791">
        <w:t>септември</w:t>
      </w:r>
      <w:r w:rsidR="00684E7A">
        <w:t xml:space="preserve"> </w:t>
      </w:r>
      <w:r w:rsidR="00480307">
        <w:t>2019</w:t>
      </w:r>
      <w:r w:rsidR="00132B9F">
        <w:t xml:space="preserve"> г./</w:t>
      </w:r>
      <w:r w:rsidR="00C17EBD">
        <w:t>юни</w:t>
      </w:r>
      <w:r w:rsidR="00684E7A">
        <w:t>–</w:t>
      </w:r>
      <w:r w:rsidR="006C4791">
        <w:t>септември</w:t>
      </w:r>
      <w:r w:rsidR="00684E7A">
        <w:t xml:space="preserve"> </w:t>
      </w:r>
      <w:r w:rsidR="00480307">
        <w:t xml:space="preserve">2018 </w:t>
      </w:r>
      <w:r w:rsidRPr="001B4EE4">
        <w:t>г.</w:t>
      </w:r>
    </w:p>
    <w:tbl>
      <w:tblPr>
        <w:tblW w:w="9072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6"/>
        <w:gridCol w:w="691"/>
        <w:gridCol w:w="3149"/>
        <w:gridCol w:w="1263"/>
        <w:gridCol w:w="1549"/>
        <w:gridCol w:w="2384"/>
      </w:tblGrid>
      <w:tr w:rsidR="00294D88" w:rsidRPr="00AB33F1" w:rsidTr="008D4D8F">
        <w:trPr>
          <w:gridBefore w:val="1"/>
          <w:trHeight w:val="20"/>
          <w:tblHeader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294D88" w:rsidRPr="00AB33F1" w:rsidTr="00EC474E">
        <w:trPr>
          <w:gridBefore w:val="1"/>
          <w:trHeight w:val="242"/>
        </w:trPr>
        <w:tc>
          <w:tcPr>
            <w:tcW w:w="3840" w:type="dxa"/>
            <w:gridSpan w:val="2"/>
            <w:shd w:val="clear" w:color="auto" w:fill="006600"/>
            <w:vAlign w:val="center"/>
          </w:tcPr>
          <w:p w:rsidR="00294D88" w:rsidRPr="00826898" w:rsidRDefault="00E236B0" w:rsidP="00AB33F1">
            <w:pPr>
              <w:rPr>
                <w:b/>
                <w:color w:val="auto"/>
                <w:sz w:val="22"/>
              </w:rPr>
            </w:pPr>
            <w:r w:rsidRPr="00826898">
              <w:rPr>
                <w:b/>
                <w:color w:val="auto"/>
                <w:sz w:val="22"/>
              </w:rPr>
              <w:t>Общо</w:t>
            </w:r>
          </w:p>
        </w:tc>
        <w:tc>
          <w:tcPr>
            <w:tcW w:w="1263" w:type="dxa"/>
            <w:shd w:val="clear" w:color="auto" w:fill="006600"/>
          </w:tcPr>
          <w:p w:rsidR="00294D88" w:rsidRPr="00826898" w:rsidRDefault="008D4D8F" w:rsidP="007C0A9E">
            <w:pPr>
              <w:jc w:val="right"/>
              <w:rPr>
                <w:b/>
                <w:color w:val="auto"/>
                <w:sz w:val="22"/>
              </w:rPr>
            </w:pPr>
            <w:r w:rsidRPr="008D4D8F">
              <w:rPr>
                <w:b/>
                <w:color w:val="auto"/>
                <w:sz w:val="22"/>
              </w:rPr>
              <w:t>2 905 531</w:t>
            </w:r>
          </w:p>
        </w:tc>
        <w:tc>
          <w:tcPr>
            <w:tcW w:w="1549" w:type="dxa"/>
            <w:shd w:val="clear" w:color="auto" w:fill="006600"/>
          </w:tcPr>
          <w:p w:rsidR="00294D88" w:rsidRPr="00826898" w:rsidRDefault="008D4D8F" w:rsidP="00DB6027">
            <w:pPr>
              <w:jc w:val="right"/>
              <w:rPr>
                <w:b/>
                <w:color w:val="auto"/>
                <w:sz w:val="22"/>
              </w:rPr>
            </w:pPr>
            <w:r w:rsidRPr="008D4D8F">
              <w:rPr>
                <w:b/>
                <w:color w:val="auto"/>
                <w:sz w:val="22"/>
              </w:rPr>
              <w:t>130 637</w:t>
            </w:r>
          </w:p>
        </w:tc>
        <w:tc>
          <w:tcPr>
            <w:tcW w:w="2384" w:type="dxa"/>
            <w:shd w:val="clear" w:color="auto" w:fill="006600"/>
          </w:tcPr>
          <w:p w:rsidR="00294D88" w:rsidRPr="00826898" w:rsidRDefault="008D4D8F" w:rsidP="00DB6027">
            <w:pPr>
              <w:jc w:val="right"/>
              <w:rPr>
                <w:b/>
                <w:color w:val="auto"/>
                <w:sz w:val="22"/>
              </w:rPr>
            </w:pPr>
            <w:r w:rsidRPr="008D4D8F">
              <w:rPr>
                <w:b/>
                <w:color w:val="auto"/>
                <w:sz w:val="22"/>
              </w:rPr>
              <w:t>4,7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661 129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32 363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658 361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35 549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230 569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16 556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198 116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6 869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181 572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3 503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684E7A" w:rsidP="008D4D8F">
            <w:pPr>
              <w:rPr>
                <w:sz w:val="22"/>
              </w:rPr>
            </w:pPr>
            <w:r>
              <w:rPr>
                <w:sz w:val="22"/>
              </w:rPr>
              <w:t xml:space="preserve">СЕВЕРНА </w:t>
            </w:r>
            <w:r w:rsidR="008D4D8F">
              <w:rPr>
                <w:sz w:val="22"/>
              </w:rPr>
              <w:t>МАКЕДОНИЯ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176 664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7 147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96 017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-3 953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-4,0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93 045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6 492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78 478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5 230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75 199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3 053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68 196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6 063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9,8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45 856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32 037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-0,5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31 409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29 631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29 201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-0,4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РУСКА ФЕДЕРАЦИЯ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26 543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-4,1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18 895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3 269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18 490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1 375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17 868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9 910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1 043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11,8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9 341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-646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-7,2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8 161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5 273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8 028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-610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-7,1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7 952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1 892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-2,2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7 289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2 448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50,6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6 520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-2,9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6 187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5 888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-7,0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5 363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-4 479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-45,5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5 339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4 013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302,6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5 172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-612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4 444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1 355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43,9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3 972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-22,8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-4,7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25,3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1 666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-545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-30,4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84,3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-2 410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-72,4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-79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-8,8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КАТАР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</w:rPr>
            </w:pPr>
            <w:r>
              <w:rPr>
                <w:sz w:val="22"/>
              </w:rPr>
              <w:t>ЕГИПЕТ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60,7</w:t>
            </w:r>
          </w:p>
        </w:tc>
      </w:tr>
      <w:tr w:rsidR="008D4D8F" w:rsidRPr="00826898" w:rsidTr="008D4D8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8F" w:rsidRPr="00826898" w:rsidRDefault="008D4D8F" w:rsidP="008D4D8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ТУНИС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D8F" w:rsidRDefault="008D4D8F" w:rsidP="008D4D8F">
            <w:pPr>
              <w:jc w:val="right"/>
              <w:rPr>
                <w:sz w:val="22"/>
              </w:rPr>
            </w:pPr>
            <w:r>
              <w:rPr>
                <w:sz w:val="22"/>
              </w:rPr>
              <w:t>89,5</w:t>
            </w:r>
          </w:p>
        </w:tc>
      </w:tr>
      <w:tr w:rsidR="008D4D8F" w:rsidRPr="00826898" w:rsidTr="00EC4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5"/>
          <w:wAfter w:w="903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4D8F" w:rsidRDefault="008D4D8F" w:rsidP="008D4D8F">
            <w:pPr>
              <w:rPr>
                <w:rFonts w:eastAsia="Times New Roman"/>
                <w:sz w:val="22"/>
                <w:lang w:eastAsia="bg-BG"/>
              </w:rPr>
            </w:pPr>
          </w:p>
        </w:tc>
      </w:tr>
    </w:tbl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E46150" w:rsidRDefault="00294D88" w:rsidP="005C11A5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5</w:t>
      </w:r>
      <w:r w:rsidR="00D13933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21776A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297815</wp:posOffset>
            </wp:positionV>
            <wp:extent cx="5641975" cy="3893820"/>
            <wp:effectExtent l="0" t="0" r="15875" b="11430"/>
            <wp:wrapSquare wrapText="bothSides"/>
            <wp:docPr id="8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Default="00294D88" w:rsidP="005D1A5B"/>
    <w:p w:rsidR="00294D88" w:rsidRPr="00D62124" w:rsidRDefault="00294D88" w:rsidP="00D62124">
      <w:pPr>
        <w:tabs>
          <w:tab w:val="left" w:pos="5100"/>
        </w:tabs>
        <w:rPr>
          <w:lang w:val="en-US"/>
        </w:rPr>
      </w:pPr>
    </w:p>
    <w:sectPr w:rsidR="00294D88" w:rsidRPr="00D62124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D1" w:rsidRDefault="00B060D1" w:rsidP="00CD1C28">
      <w:r>
        <w:separator/>
      </w:r>
    </w:p>
  </w:endnote>
  <w:endnote w:type="continuationSeparator" w:id="0">
    <w:p w:rsidR="00B060D1" w:rsidRDefault="00B060D1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FB" w:rsidRPr="005F30B6" w:rsidRDefault="003B12FB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F551E8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3B12FB" w:rsidRDefault="003B1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D1" w:rsidRDefault="00B060D1" w:rsidP="00CD1C28">
      <w:r>
        <w:separator/>
      </w:r>
    </w:p>
  </w:footnote>
  <w:footnote w:type="continuationSeparator" w:id="0">
    <w:p w:rsidR="00B060D1" w:rsidRDefault="00B060D1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3B12FB" w:rsidTr="006D73EB">
      <w:tc>
        <w:tcPr>
          <w:tcW w:w="1056" w:type="dxa"/>
          <w:vAlign w:val="center"/>
        </w:tcPr>
        <w:p w:rsidR="003B12FB" w:rsidRPr="006D73EB" w:rsidRDefault="003B12FB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33655" b="4762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709A27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P0yA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 w:rsidRPr="0085617C">
            <w:rPr>
              <w:noProof/>
              <w:lang w:eastAsia="bg-BG"/>
            </w:rPr>
            <w:drawing>
              <wp:inline distT="0" distB="0" distL="0" distR="0">
                <wp:extent cx="501650" cy="431800"/>
                <wp:effectExtent l="0" t="0" r="0" b="635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3B12FB" w:rsidRPr="006D73EB" w:rsidRDefault="003B12FB" w:rsidP="006D73EB">
          <w:pPr>
            <w:pStyle w:val="Header"/>
            <w:jc w:val="right"/>
          </w:pPr>
          <w:r w:rsidRPr="0085617C">
            <w:rPr>
              <w:noProof/>
              <w:lang w:eastAsia="bg-BG"/>
            </w:rPr>
            <w:drawing>
              <wp:inline distT="0" distB="0" distL="0" distR="0">
                <wp:extent cx="2057400" cy="5270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12FB" w:rsidRDefault="003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9D"/>
    <w:rsid w:val="00001B92"/>
    <w:rsid w:val="0000709A"/>
    <w:rsid w:val="0001365A"/>
    <w:rsid w:val="0002370A"/>
    <w:rsid w:val="00026B30"/>
    <w:rsid w:val="000304AA"/>
    <w:rsid w:val="00034499"/>
    <w:rsid w:val="000433A5"/>
    <w:rsid w:val="00045A02"/>
    <w:rsid w:val="000478D0"/>
    <w:rsid w:val="00050386"/>
    <w:rsid w:val="00051AD5"/>
    <w:rsid w:val="00061F69"/>
    <w:rsid w:val="000626B8"/>
    <w:rsid w:val="00067075"/>
    <w:rsid w:val="00081C61"/>
    <w:rsid w:val="00091FFD"/>
    <w:rsid w:val="00097974"/>
    <w:rsid w:val="000A3C94"/>
    <w:rsid w:val="000B0D1C"/>
    <w:rsid w:val="000B0E8C"/>
    <w:rsid w:val="000B2FB8"/>
    <w:rsid w:val="000C4774"/>
    <w:rsid w:val="000D0185"/>
    <w:rsid w:val="000D1B7B"/>
    <w:rsid w:val="000D232D"/>
    <w:rsid w:val="000D5425"/>
    <w:rsid w:val="000D62BF"/>
    <w:rsid w:val="000E23F6"/>
    <w:rsid w:val="000F0329"/>
    <w:rsid w:val="001032C3"/>
    <w:rsid w:val="00107722"/>
    <w:rsid w:val="00111FDC"/>
    <w:rsid w:val="00116319"/>
    <w:rsid w:val="00121B36"/>
    <w:rsid w:val="00132B9F"/>
    <w:rsid w:val="0013764C"/>
    <w:rsid w:val="001413BF"/>
    <w:rsid w:val="00150910"/>
    <w:rsid w:val="001513AF"/>
    <w:rsid w:val="00151932"/>
    <w:rsid w:val="00160BFB"/>
    <w:rsid w:val="001777AB"/>
    <w:rsid w:val="00180F0D"/>
    <w:rsid w:val="00181707"/>
    <w:rsid w:val="00183A23"/>
    <w:rsid w:val="00192D14"/>
    <w:rsid w:val="0019335C"/>
    <w:rsid w:val="00196BD2"/>
    <w:rsid w:val="00197E88"/>
    <w:rsid w:val="001A6C61"/>
    <w:rsid w:val="001B21A5"/>
    <w:rsid w:val="001B392E"/>
    <w:rsid w:val="001B4233"/>
    <w:rsid w:val="001B4EE4"/>
    <w:rsid w:val="001C786A"/>
    <w:rsid w:val="001C7AC1"/>
    <w:rsid w:val="001D0640"/>
    <w:rsid w:val="001D4B5D"/>
    <w:rsid w:val="001E6C53"/>
    <w:rsid w:val="001F22D4"/>
    <w:rsid w:val="00210D61"/>
    <w:rsid w:val="002112E4"/>
    <w:rsid w:val="002127A7"/>
    <w:rsid w:val="00214B22"/>
    <w:rsid w:val="0021776A"/>
    <w:rsid w:val="00221479"/>
    <w:rsid w:val="00223F66"/>
    <w:rsid w:val="0023416C"/>
    <w:rsid w:val="00241C58"/>
    <w:rsid w:val="00242604"/>
    <w:rsid w:val="00242844"/>
    <w:rsid w:val="00246F13"/>
    <w:rsid w:val="00252782"/>
    <w:rsid w:val="00255893"/>
    <w:rsid w:val="00256C4B"/>
    <w:rsid w:val="00261126"/>
    <w:rsid w:val="00261225"/>
    <w:rsid w:val="00270AF1"/>
    <w:rsid w:val="00273715"/>
    <w:rsid w:val="00281930"/>
    <w:rsid w:val="00284D63"/>
    <w:rsid w:val="00285314"/>
    <w:rsid w:val="00290C39"/>
    <w:rsid w:val="00290D2A"/>
    <w:rsid w:val="0029123C"/>
    <w:rsid w:val="00294D88"/>
    <w:rsid w:val="002A2D16"/>
    <w:rsid w:val="002A400A"/>
    <w:rsid w:val="002A4A96"/>
    <w:rsid w:val="002A717A"/>
    <w:rsid w:val="002A7EC6"/>
    <w:rsid w:val="002C2F64"/>
    <w:rsid w:val="002C338E"/>
    <w:rsid w:val="002C3D3B"/>
    <w:rsid w:val="002C5C95"/>
    <w:rsid w:val="002C680D"/>
    <w:rsid w:val="002D3120"/>
    <w:rsid w:val="002D5572"/>
    <w:rsid w:val="002E785D"/>
    <w:rsid w:val="002F3455"/>
    <w:rsid w:val="00301F8A"/>
    <w:rsid w:val="00303CF1"/>
    <w:rsid w:val="00305D90"/>
    <w:rsid w:val="0030622A"/>
    <w:rsid w:val="0031622F"/>
    <w:rsid w:val="003171E2"/>
    <w:rsid w:val="00317439"/>
    <w:rsid w:val="00325D19"/>
    <w:rsid w:val="00327AFA"/>
    <w:rsid w:val="003334C5"/>
    <w:rsid w:val="00337669"/>
    <w:rsid w:val="00347603"/>
    <w:rsid w:val="0035264A"/>
    <w:rsid w:val="0035480C"/>
    <w:rsid w:val="0035740D"/>
    <w:rsid w:val="00361F96"/>
    <w:rsid w:val="00374CD1"/>
    <w:rsid w:val="00390C3D"/>
    <w:rsid w:val="00394A63"/>
    <w:rsid w:val="00396FF1"/>
    <w:rsid w:val="003A4E38"/>
    <w:rsid w:val="003A5D4F"/>
    <w:rsid w:val="003B04A9"/>
    <w:rsid w:val="003B12FB"/>
    <w:rsid w:val="003B5ADE"/>
    <w:rsid w:val="003B7FC6"/>
    <w:rsid w:val="003C737A"/>
    <w:rsid w:val="003E0B43"/>
    <w:rsid w:val="003E4758"/>
    <w:rsid w:val="003E5AE0"/>
    <w:rsid w:val="004056CC"/>
    <w:rsid w:val="00406C0F"/>
    <w:rsid w:val="00415664"/>
    <w:rsid w:val="004168EB"/>
    <w:rsid w:val="00421AC8"/>
    <w:rsid w:val="00421F26"/>
    <w:rsid w:val="00423BE4"/>
    <w:rsid w:val="004253EA"/>
    <w:rsid w:val="00425CE1"/>
    <w:rsid w:val="00435661"/>
    <w:rsid w:val="00441BA6"/>
    <w:rsid w:val="00444632"/>
    <w:rsid w:val="00446C9C"/>
    <w:rsid w:val="004524D4"/>
    <w:rsid w:val="00460417"/>
    <w:rsid w:val="00461424"/>
    <w:rsid w:val="00466CC2"/>
    <w:rsid w:val="00466F9C"/>
    <w:rsid w:val="00470D66"/>
    <w:rsid w:val="00473DA6"/>
    <w:rsid w:val="00480307"/>
    <w:rsid w:val="00482458"/>
    <w:rsid w:val="00486DA8"/>
    <w:rsid w:val="004902A6"/>
    <w:rsid w:val="004906F5"/>
    <w:rsid w:val="00493CBD"/>
    <w:rsid w:val="004A0037"/>
    <w:rsid w:val="004A4D15"/>
    <w:rsid w:val="004C226E"/>
    <w:rsid w:val="004C34A0"/>
    <w:rsid w:val="004D7211"/>
    <w:rsid w:val="004D7AAC"/>
    <w:rsid w:val="004E05CF"/>
    <w:rsid w:val="004E1416"/>
    <w:rsid w:val="004F75EA"/>
    <w:rsid w:val="004F7FDC"/>
    <w:rsid w:val="005002E4"/>
    <w:rsid w:val="00503453"/>
    <w:rsid w:val="00505D15"/>
    <w:rsid w:val="00520948"/>
    <w:rsid w:val="005255B8"/>
    <w:rsid w:val="00531620"/>
    <w:rsid w:val="00541C15"/>
    <w:rsid w:val="00545135"/>
    <w:rsid w:val="00547C5F"/>
    <w:rsid w:val="00553FB9"/>
    <w:rsid w:val="00561C2C"/>
    <w:rsid w:val="00565558"/>
    <w:rsid w:val="00567FF0"/>
    <w:rsid w:val="0057128C"/>
    <w:rsid w:val="005744B3"/>
    <w:rsid w:val="00580EA1"/>
    <w:rsid w:val="005860EA"/>
    <w:rsid w:val="005B527B"/>
    <w:rsid w:val="005C0D9D"/>
    <w:rsid w:val="005C11A5"/>
    <w:rsid w:val="005D0C7F"/>
    <w:rsid w:val="005D1A5B"/>
    <w:rsid w:val="005D64C1"/>
    <w:rsid w:val="005E1E7F"/>
    <w:rsid w:val="005E2556"/>
    <w:rsid w:val="005E2CD7"/>
    <w:rsid w:val="005E616B"/>
    <w:rsid w:val="005F30B6"/>
    <w:rsid w:val="005F48BD"/>
    <w:rsid w:val="00600031"/>
    <w:rsid w:val="00601C59"/>
    <w:rsid w:val="006026C1"/>
    <w:rsid w:val="00604E8D"/>
    <w:rsid w:val="006055BD"/>
    <w:rsid w:val="00610DEA"/>
    <w:rsid w:val="00627324"/>
    <w:rsid w:val="0065496D"/>
    <w:rsid w:val="006578E7"/>
    <w:rsid w:val="0066093E"/>
    <w:rsid w:val="00662155"/>
    <w:rsid w:val="00667B4F"/>
    <w:rsid w:val="006714D1"/>
    <w:rsid w:val="006715D4"/>
    <w:rsid w:val="00671A4C"/>
    <w:rsid w:val="00672221"/>
    <w:rsid w:val="0067280F"/>
    <w:rsid w:val="006732AC"/>
    <w:rsid w:val="00675844"/>
    <w:rsid w:val="00684E7A"/>
    <w:rsid w:val="00685654"/>
    <w:rsid w:val="00691AC3"/>
    <w:rsid w:val="00696650"/>
    <w:rsid w:val="006B31F1"/>
    <w:rsid w:val="006B47CF"/>
    <w:rsid w:val="006B7E47"/>
    <w:rsid w:val="006C1DDB"/>
    <w:rsid w:val="006C25B6"/>
    <w:rsid w:val="006C4791"/>
    <w:rsid w:val="006C4AFD"/>
    <w:rsid w:val="006D54F9"/>
    <w:rsid w:val="006D73EB"/>
    <w:rsid w:val="006E328A"/>
    <w:rsid w:val="006E7189"/>
    <w:rsid w:val="006E7FEA"/>
    <w:rsid w:val="006F0098"/>
    <w:rsid w:val="006F2799"/>
    <w:rsid w:val="006F366F"/>
    <w:rsid w:val="006F66C0"/>
    <w:rsid w:val="006F68B7"/>
    <w:rsid w:val="00717D8E"/>
    <w:rsid w:val="00724410"/>
    <w:rsid w:val="00726994"/>
    <w:rsid w:val="00726A54"/>
    <w:rsid w:val="00727031"/>
    <w:rsid w:val="0073004B"/>
    <w:rsid w:val="00732964"/>
    <w:rsid w:val="007330C1"/>
    <w:rsid w:val="007376AF"/>
    <w:rsid w:val="00741DA1"/>
    <w:rsid w:val="00752011"/>
    <w:rsid w:val="0075438A"/>
    <w:rsid w:val="00755FF8"/>
    <w:rsid w:val="00756748"/>
    <w:rsid w:val="007619A7"/>
    <w:rsid w:val="00766D3F"/>
    <w:rsid w:val="00775C93"/>
    <w:rsid w:val="00777246"/>
    <w:rsid w:val="0078115C"/>
    <w:rsid w:val="007A2C4E"/>
    <w:rsid w:val="007B13A6"/>
    <w:rsid w:val="007B5B14"/>
    <w:rsid w:val="007C0A9E"/>
    <w:rsid w:val="007C28B3"/>
    <w:rsid w:val="007D09FC"/>
    <w:rsid w:val="007D6C9D"/>
    <w:rsid w:val="007E068E"/>
    <w:rsid w:val="007E1ECE"/>
    <w:rsid w:val="007E26CC"/>
    <w:rsid w:val="007E26E6"/>
    <w:rsid w:val="007E6112"/>
    <w:rsid w:val="007F2B52"/>
    <w:rsid w:val="007F433E"/>
    <w:rsid w:val="008009DF"/>
    <w:rsid w:val="008047FE"/>
    <w:rsid w:val="00804FEE"/>
    <w:rsid w:val="008115C5"/>
    <w:rsid w:val="0081188A"/>
    <w:rsid w:val="0081620D"/>
    <w:rsid w:val="00826898"/>
    <w:rsid w:val="00833689"/>
    <w:rsid w:val="008509AE"/>
    <w:rsid w:val="008518C9"/>
    <w:rsid w:val="008636A7"/>
    <w:rsid w:val="00865EB1"/>
    <w:rsid w:val="00866F6E"/>
    <w:rsid w:val="00872741"/>
    <w:rsid w:val="00872AB7"/>
    <w:rsid w:val="00875242"/>
    <w:rsid w:val="00876F7B"/>
    <w:rsid w:val="008935BB"/>
    <w:rsid w:val="00897EF8"/>
    <w:rsid w:val="008A0587"/>
    <w:rsid w:val="008A1530"/>
    <w:rsid w:val="008A5451"/>
    <w:rsid w:val="008B06DB"/>
    <w:rsid w:val="008B0B0E"/>
    <w:rsid w:val="008C03BF"/>
    <w:rsid w:val="008C16ED"/>
    <w:rsid w:val="008C3705"/>
    <w:rsid w:val="008C4127"/>
    <w:rsid w:val="008C64CC"/>
    <w:rsid w:val="008C74A9"/>
    <w:rsid w:val="008D1200"/>
    <w:rsid w:val="008D3E79"/>
    <w:rsid w:val="008D4099"/>
    <w:rsid w:val="008D463E"/>
    <w:rsid w:val="008D4D8F"/>
    <w:rsid w:val="008D5D8B"/>
    <w:rsid w:val="008E0B3C"/>
    <w:rsid w:val="008E4C17"/>
    <w:rsid w:val="008F2803"/>
    <w:rsid w:val="008F38F9"/>
    <w:rsid w:val="00902DFF"/>
    <w:rsid w:val="00904248"/>
    <w:rsid w:val="00914829"/>
    <w:rsid w:val="00934A9D"/>
    <w:rsid w:val="0094691A"/>
    <w:rsid w:val="0095249D"/>
    <w:rsid w:val="00957863"/>
    <w:rsid w:val="00961089"/>
    <w:rsid w:val="00975FF9"/>
    <w:rsid w:val="00981E0C"/>
    <w:rsid w:val="00981EF7"/>
    <w:rsid w:val="00984EBB"/>
    <w:rsid w:val="00986D02"/>
    <w:rsid w:val="009938A7"/>
    <w:rsid w:val="00994592"/>
    <w:rsid w:val="009A0AAF"/>
    <w:rsid w:val="009A75F4"/>
    <w:rsid w:val="009B2C7E"/>
    <w:rsid w:val="009B38B2"/>
    <w:rsid w:val="009B4A61"/>
    <w:rsid w:val="009B5121"/>
    <w:rsid w:val="009C0556"/>
    <w:rsid w:val="009C2261"/>
    <w:rsid w:val="009C3B4F"/>
    <w:rsid w:val="009C4322"/>
    <w:rsid w:val="009D0A2D"/>
    <w:rsid w:val="009D12E9"/>
    <w:rsid w:val="009D4D93"/>
    <w:rsid w:val="009D6E25"/>
    <w:rsid w:val="009E10DE"/>
    <w:rsid w:val="009E7108"/>
    <w:rsid w:val="009F0B16"/>
    <w:rsid w:val="009F3EBE"/>
    <w:rsid w:val="009F768A"/>
    <w:rsid w:val="00A001A7"/>
    <w:rsid w:val="00A00D6D"/>
    <w:rsid w:val="00A015BA"/>
    <w:rsid w:val="00A131A7"/>
    <w:rsid w:val="00A134BA"/>
    <w:rsid w:val="00A15598"/>
    <w:rsid w:val="00A27A53"/>
    <w:rsid w:val="00A31299"/>
    <w:rsid w:val="00A32A45"/>
    <w:rsid w:val="00A37BD0"/>
    <w:rsid w:val="00A450DE"/>
    <w:rsid w:val="00A5045B"/>
    <w:rsid w:val="00A51ABC"/>
    <w:rsid w:val="00A56998"/>
    <w:rsid w:val="00A607C4"/>
    <w:rsid w:val="00A60FCA"/>
    <w:rsid w:val="00A61DB6"/>
    <w:rsid w:val="00A61F63"/>
    <w:rsid w:val="00A62DF5"/>
    <w:rsid w:val="00A64643"/>
    <w:rsid w:val="00A70F2D"/>
    <w:rsid w:val="00A719EC"/>
    <w:rsid w:val="00A80618"/>
    <w:rsid w:val="00A85A8B"/>
    <w:rsid w:val="00A90CBF"/>
    <w:rsid w:val="00A9138F"/>
    <w:rsid w:val="00A91BC3"/>
    <w:rsid w:val="00A92D87"/>
    <w:rsid w:val="00A942AC"/>
    <w:rsid w:val="00A96FFB"/>
    <w:rsid w:val="00AA463E"/>
    <w:rsid w:val="00AA585E"/>
    <w:rsid w:val="00AA6AA7"/>
    <w:rsid w:val="00AB33F1"/>
    <w:rsid w:val="00AB3F03"/>
    <w:rsid w:val="00AB424F"/>
    <w:rsid w:val="00AB4543"/>
    <w:rsid w:val="00AB5C9D"/>
    <w:rsid w:val="00AD077E"/>
    <w:rsid w:val="00AD1856"/>
    <w:rsid w:val="00AD4190"/>
    <w:rsid w:val="00AD4678"/>
    <w:rsid w:val="00AF462B"/>
    <w:rsid w:val="00AF48FA"/>
    <w:rsid w:val="00AF4924"/>
    <w:rsid w:val="00AF610B"/>
    <w:rsid w:val="00AF646E"/>
    <w:rsid w:val="00B01B8C"/>
    <w:rsid w:val="00B02A92"/>
    <w:rsid w:val="00B060D1"/>
    <w:rsid w:val="00B06C26"/>
    <w:rsid w:val="00B120F3"/>
    <w:rsid w:val="00B237EB"/>
    <w:rsid w:val="00B266BF"/>
    <w:rsid w:val="00B34E4E"/>
    <w:rsid w:val="00B5474B"/>
    <w:rsid w:val="00B61853"/>
    <w:rsid w:val="00B657E9"/>
    <w:rsid w:val="00B72752"/>
    <w:rsid w:val="00B75CDE"/>
    <w:rsid w:val="00B8185A"/>
    <w:rsid w:val="00B818FD"/>
    <w:rsid w:val="00B8196F"/>
    <w:rsid w:val="00B826F0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C0122F"/>
    <w:rsid w:val="00C029D3"/>
    <w:rsid w:val="00C051BD"/>
    <w:rsid w:val="00C07889"/>
    <w:rsid w:val="00C1525C"/>
    <w:rsid w:val="00C17EBD"/>
    <w:rsid w:val="00C17EF9"/>
    <w:rsid w:val="00C20AA1"/>
    <w:rsid w:val="00C23EE2"/>
    <w:rsid w:val="00C27DF8"/>
    <w:rsid w:val="00C31C13"/>
    <w:rsid w:val="00C3331F"/>
    <w:rsid w:val="00C353C1"/>
    <w:rsid w:val="00C409C7"/>
    <w:rsid w:val="00C41A28"/>
    <w:rsid w:val="00C445AF"/>
    <w:rsid w:val="00C51576"/>
    <w:rsid w:val="00C53DA5"/>
    <w:rsid w:val="00C628E2"/>
    <w:rsid w:val="00C63DFE"/>
    <w:rsid w:val="00C72376"/>
    <w:rsid w:val="00C8260E"/>
    <w:rsid w:val="00C8579A"/>
    <w:rsid w:val="00C902A0"/>
    <w:rsid w:val="00CA13A9"/>
    <w:rsid w:val="00CA203D"/>
    <w:rsid w:val="00CA2972"/>
    <w:rsid w:val="00CA41DF"/>
    <w:rsid w:val="00CB31E1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01509"/>
    <w:rsid w:val="00D111D8"/>
    <w:rsid w:val="00D116A8"/>
    <w:rsid w:val="00D13933"/>
    <w:rsid w:val="00D140A0"/>
    <w:rsid w:val="00D1567B"/>
    <w:rsid w:val="00D16A3E"/>
    <w:rsid w:val="00D20C6D"/>
    <w:rsid w:val="00D23DC3"/>
    <w:rsid w:val="00D241E0"/>
    <w:rsid w:val="00D24743"/>
    <w:rsid w:val="00D41DD8"/>
    <w:rsid w:val="00D438C5"/>
    <w:rsid w:val="00D46213"/>
    <w:rsid w:val="00D51901"/>
    <w:rsid w:val="00D5419C"/>
    <w:rsid w:val="00D579A6"/>
    <w:rsid w:val="00D62124"/>
    <w:rsid w:val="00D645F3"/>
    <w:rsid w:val="00D71C5A"/>
    <w:rsid w:val="00D73147"/>
    <w:rsid w:val="00D736DE"/>
    <w:rsid w:val="00D76F66"/>
    <w:rsid w:val="00D843F3"/>
    <w:rsid w:val="00D845AC"/>
    <w:rsid w:val="00D868B4"/>
    <w:rsid w:val="00D87EAE"/>
    <w:rsid w:val="00D923C6"/>
    <w:rsid w:val="00DA623A"/>
    <w:rsid w:val="00DB2F7A"/>
    <w:rsid w:val="00DB44EF"/>
    <w:rsid w:val="00DB6027"/>
    <w:rsid w:val="00DB7DA1"/>
    <w:rsid w:val="00DC0B6B"/>
    <w:rsid w:val="00DC1943"/>
    <w:rsid w:val="00DC6FC0"/>
    <w:rsid w:val="00DD2210"/>
    <w:rsid w:val="00DD2D28"/>
    <w:rsid w:val="00DD3F0A"/>
    <w:rsid w:val="00DD5548"/>
    <w:rsid w:val="00DE2A32"/>
    <w:rsid w:val="00DE4C19"/>
    <w:rsid w:val="00DE4DAA"/>
    <w:rsid w:val="00DF31C5"/>
    <w:rsid w:val="00E048EB"/>
    <w:rsid w:val="00E06105"/>
    <w:rsid w:val="00E14821"/>
    <w:rsid w:val="00E152C0"/>
    <w:rsid w:val="00E235B1"/>
    <w:rsid w:val="00E236B0"/>
    <w:rsid w:val="00E3280C"/>
    <w:rsid w:val="00E35903"/>
    <w:rsid w:val="00E37BAA"/>
    <w:rsid w:val="00E452DA"/>
    <w:rsid w:val="00E46150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92B25"/>
    <w:rsid w:val="00EA0B81"/>
    <w:rsid w:val="00EA4A5D"/>
    <w:rsid w:val="00EB493E"/>
    <w:rsid w:val="00EB7ECF"/>
    <w:rsid w:val="00EC474E"/>
    <w:rsid w:val="00EC4B42"/>
    <w:rsid w:val="00ED46A7"/>
    <w:rsid w:val="00EE0E42"/>
    <w:rsid w:val="00EE796D"/>
    <w:rsid w:val="00EF5164"/>
    <w:rsid w:val="00EF69CD"/>
    <w:rsid w:val="00EF7CAF"/>
    <w:rsid w:val="00F019E7"/>
    <w:rsid w:val="00F16635"/>
    <w:rsid w:val="00F21675"/>
    <w:rsid w:val="00F2326A"/>
    <w:rsid w:val="00F26960"/>
    <w:rsid w:val="00F30B9D"/>
    <w:rsid w:val="00F33AA3"/>
    <w:rsid w:val="00F41C66"/>
    <w:rsid w:val="00F50389"/>
    <w:rsid w:val="00F52617"/>
    <w:rsid w:val="00F52670"/>
    <w:rsid w:val="00F551E8"/>
    <w:rsid w:val="00F628B5"/>
    <w:rsid w:val="00F62FEF"/>
    <w:rsid w:val="00F67AA6"/>
    <w:rsid w:val="00F710FA"/>
    <w:rsid w:val="00F73256"/>
    <w:rsid w:val="00F87B13"/>
    <w:rsid w:val="00F87FE3"/>
    <w:rsid w:val="00F93943"/>
    <w:rsid w:val="00F95F86"/>
    <w:rsid w:val="00F96008"/>
    <w:rsid w:val="00FA22B8"/>
    <w:rsid w:val="00FA38D3"/>
    <w:rsid w:val="00FA7DD0"/>
    <w:rsid w:val="00FB27EF"/>
    <w:rsid w:val="00FB3964"/>
    <w:rsid w:val="00FB7A18"/>
    <w:rsid w:val="00FC084A"/>
    <w:rsid w:val="00FC09CB"/>
    <w:rsid w:val="00FD209F"/>
    <w:rsid w:val="00FD4F91"/>
    <w:rsid w:val="00FD7E5C"/>
    <w:rsid w:val="00FE3FE0"/>
    <w:rsid w:val="00FF2D1B"/>
    <w:rsid w:val="00FF463E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EE3FA1-C228-4DE3-A549-B764955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Cs w:val="22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szCs w:val="22"/>
      <w:lang w:eastAsia="en-US"/>
    </w:rPr>
  </w:style>
  <w:style w:type="character" w:styleId="Emphasis">
    <w:name w:val="Emphasis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G_Tourism_Comunike_January_August_2019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43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3960129</c:v>
                </c:pt>
                <c:pt idx="1">
                  <c:v>4143505</c:v>
                </c:pt>
                <c:pt idx="2">
                  <c:v>4351268</c:v>
                </c:pt>
                <c:pt idx="3">
                  <c:v>4578814</c:v>
                </c:pt>
                <c:pt idx="4">
                  <c:v>4237407</c:v>
                </c:pt>
                <c:pt idx="5">
                  <c:v>5012932</c:v>
                </c:pt>
                <c:pt idx="6">
                  <c:v>5300600</c:v>
                </c:pt>
                <c:pt idx="7">
                  <c:v>5467298</c:v>
                </c:pt>
                <c:pt idx="8">
                  <c:v>5401139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7-4B0A-B50F-702541ACB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577495120"/>
        <c:axId val="-577485872"/>
      </c:barChart>
      <c:catAx>
        <c:axId val="-57749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77485872"/>
        <c:crosses val="autoZero"/>
        <c:auto val="1"/>
        <c:lblAlgn val="ctr"/>
        <c:lblOffset val="100"/>
        <c:noMultiLvlLbl val="0"/>
      </c:catAx>
      <c:valAx>
        <c:axId val="-57748587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5774951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41B-48F0-9D34-C1FDCB78526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41B-48F0-9D34-C1FDCB78526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41B-48F0-9D34-C1FDCB78526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41B-48F0-9D34-C1FDCB785267}"/>
              </c:ext>
            </c:extLst>
          </c:dPt>
          <c:dLbls>
            <c:spPr>
              <a:noFill/>
              <a:ln w="2543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1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71.189262116749816</c:v>
                </c:pt>
                <c:pt idx="1">
                  <c:v>6.3523267962553822</c:v>
                </c:pt>
                <c:pt idx="2">
                  <c:v>13.547660965585223</c:v>
                </c:pt>
                <c:pt idx="3">
                  <c:v>8.9107501214095777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1B-48F0-9D34-C1FDCB7852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36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30461121271"/>
          <c:w val="0.33665589169774823"/>
          <c:h val="0.44347949397320591"/>
        </c:manualLayout>
      </c:layout>
      <c:overlay val="0"/>
      <c:txPr>
        <a:bodyPr/>
        <a:lstStyle/>
        <a:p>
          <a:pPr>
            <a:defRPr sz="846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юни-септември 2018 г.</c:v>
                </c:pt>
              </c:strCache>
            </c:strRef>
          </c:tx>
          <c:invertIfNegative val="0"/>
          <c:dLbls>
            <c:spPr>
              <a:noFill/>
              <a:ln w="25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ГЕРМАНИЯ</c:v>
                </c:pt>
                <c:pt idx="2">
                  <c:v>ГЪРЦИЯ</c:v>
                </c:pt>
                <c:pt idx="3">
                  <c:v>УКРАЙНА</c:v>
                </c:pt>
                <c:pt idx="4">
                  <c:v>РУСИЯ</c:v>
                </c:pt>
                <c:pt idx="5">
                  <c:v>ПОЛША</c:v>
                </c:pt>
                <c:pt idx="6">
                  <c:v>ВЕЛИКОБРИТАНИЯ</c:v>
                </c:pt>
                <c:pt idx="7">
                  <c:v>ТУРЦИЯ</c:v>
                </c:pt>
                <c:pt idx="8">
                  <c:v>МОЛДОВА</c:v>
                </c:pt>
                <c:pt idx="9">
                  <c:v>С.МАКЕДОНИЯ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696769</c:v>
                </c:pt>
                <c:pt idx="1">
                  <c:v>669755</c:v>
                </c:pt>
                <c:pt idx="2">
                  <c:v>464547</c:v>
                </c:pt>
                <c:pt idx="3">
                  <c:v>286541</c:v>
                </c:pt>
                <c:pt idx="4">
                  <c:v>422414</c:v>
                </c:pt>
                <c:pt idx="5">
                  <c:v>351183</c:v>
                </c:pt>
                <c:pt idx="6">
                  <c:v>250437</c:v>
                </c:pt>
                <c:pt idx="7">
                  <c:v>227959</c:v>
                </c:pt>
                <c:pt idx="8">
                  <c:v>174999</c:v>
                </c:pt>
                <c:pt idx="9">
                  <c:v>190575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F8-44CC-AAEE-333C7E35263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юни-септември 2019 г.</c:v>
                </c:pt>
              </c:strCache>
            </c:strRef>
          </c:tx>
          <c:invertIfNegative val="0"/>
          <c:dLbls>
            <c:spPr>
              <a:noFill/>
              <a:ln w="25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ГЕРМАНИЯ</c:v>
                </c:pt>
                <c:pt idx="2">
                  <c:v>ГЪРЦИЯ</c:v>
                </c:pt>
                <c:pt idx="3">
                  <c:v>УКРАЙНА</c:v>
                </c:pt>
                <c:pt idx="4">
                  <c:v>РУСИЯ</c:v>
                </c:pt>
                <c:pt idx="5">
                  <c:v>ПОЛША</c:v>
                </c:pt>
                <c:pt idx="6">
                  <c:v>ВЕЛИКОБРИТАНИЯ</c:v>
                </c:pt>
                <c:pt idx="7">
                  <c:v>ТУРЦИЯ</c:v>
                </c:pt>
                <c:pt idx="8">
                  <c:v>МОЛДОВА</c:v>
                </c:pt>
                <c:pt idx="9">
                  <c:v>С.МАКЕДОНИЯ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608972</c:v>
                </c:pt>
                <c:pt idx="1">
                  <c:v>582293</c:v>
                </c:pt>
                <c:pt idx="2">
                  <c:v>503144</c:v>
                </c:pt>
                <c:pt idx="3">
                  <c:v>360619</c:v>
                </c:pt>
                <c:pt idx="4">
                  <c:v>355677</c:v>
                </c:pt>
                <c:pt idx="5">
                  <c:v>338823</c:v>
                </c:pt>
                <c:pt idx="6">
                  <c:v>290420</c:v>
                </c:pt>
                <c:pt idx="7">
                  <c:v>244260</c:v>
                </c:pt>
                <c:pt idx="8">
                  <c:v>197692</c:v>
                </c:pt>
                <c:pt idx="9">
                  <c:v>185972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F8-44CC-AAEE-333C7E352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577485328"/>
        <c:axId val="-577492944"/>
      </c:barChart>
      <c:catAx>
        <c:axId val="-57748532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77492944"/>
        <c:crosses val="autoZero"/>
        <c:auto val="1"/>
        <c:lblAlgn val="ctr"/>
        <c:lblOffset val="100"/>
        <c:noMultiLvlLbl val="0"/>
      </c:catAx>
      <c:valAx>
        <c:axId val="-577492944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577485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79607817616"/>
          <c:y val="0.71128803795117257"/>
          <c:w val="0.26076987484002523"/>
          <c:h val="0.16659419892699023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4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>
                  <a:lumMod val="75000"/>
                </a:schemeClr>
              </a:solidFill>
              <a:ln w="9524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99-488B-BD50-517D060A6EF1}"/>
            </c:ext>
          </c:extLst>
        </c:ser>
        <c:ser>
          <c:idx val="1"/>
          <c:order val="1"/>
          <c:tx>
            <c:v>2018 г.</c:v>
          </c:tx>
          <c:spPr>
            <a:ln w="28574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>
                  <a:lumMod val="40000"/>
                  <a:lumOff val="60000"/>
                </a:schemeClr>
              </a:solidFill>
              <a:ln w="9524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99-488B-BD50-517D060A6E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7489136"/>
        <c:axId val="-577480976"/>
      </c:lineChart>
      <c:catAx>
        <c:axId val="-57748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77480976"/>
        <c:crosses val="autoZero"/>
        <c:auto val="1"/>
        <c:lblAlgn val="ctr"/>
        <c:lblOffset val="100"/>
        <c:noMultiLvlLbl val="0"/>
      </c:catAx>
      <c:valAx>
        <c:axId val="-577480976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4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77489136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юни-септември 2018 г.</c:v>
                </c:pt>
              </c:strCache>
            </c:strRef>
          </c:tx>
          <c:invertIfNegative val="0"/>
          <c:dLbls>
            <c:spPr>
              <a:noFill/>
              <a:ln w="26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4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ТУРЦИЯ</c:v>
                </c:pt>
                <c:pt idx="2">
                  <c:v>РУМЪНИЯ</c:v>
                </c:pt>
                <c:pt idx="3">
                  <c:v>ГЕРМАНИЯ</c:v>
                </c:pt>
                <c:pt idx="4">
                  <c:v>СЪРБИЯ</c:v>
                </c:pt>
                <c:pt idx="5">
                  <c:v>С.МАКЕДОНИЯ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628766</c:v>
                </c:pt>
                <c:pt idx="1">
                  <c:v>622812</c:v>
                </c:pt>
                <c:pt idx="2">
                  <c:v>214013</c:v>
                </c:pt>
                <c:pt idx="3">
                  <c:v>191247</c:v>
                </c:pt>
                <c:pt idx="4">
                  <c:v>178069</c:v>
                </c:pt>
                <c:pt idx="5">
                  <c:v>169517</c:v>
                </c:pt>
                <c:pt idx="6">
                  <c:v>99970</c:v>
                </c:pt>
                <c:pt idx="7">
                  <c:v>86553</c:v>
                </c:pt>
                <c:pt idx="8">
                  <c:v>73248</c:v>
                </c:pt>
                <c:pt idx="9">
                  <c:v>72146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F-4E7F-88AD-09C9B26F95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юни-септември 2019 г.</c:v>
                </c:pt>
              </c:strCache>
            </c:strRef>
          </c:tx>
          <c:invertIfNegative val="0"/>
          <c:dLbls>
            <c:spPr>
              <a:noFill/>
              <a:ln w="26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4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ТУРЦИЯ</c:v>
                </c:pt>
                <c:pt idx="2">
                  <c:v>РУМЪНИЯ</c:v>
                </c:pt>
                <c:pt idx="3">
                  <c:v>ГЕРМАНИЯ</c:v>
                </c:pt>
                <c:pt idx="4">
                  <c:v>СЪРБИЯ</c:v>
                </c:pt>
                <c:pt idx="5">
                  <c:v>С.МАКЕДОНИЯ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661129</c:v>
                </c:pt>
                <c:pt idx="1">
                  <c:v>658361</c:v>
                </c:pt>
                <c:pt idx="2">
                  <c:v>230569</c:v>
                </c:pt>
                <c:pt idx="3">
                  <c:v>198116</c:v>
                </c:pt>
                <c:pt idx="4">
                  <c:v>181572</c:v>
                </c:pt>
                <c:pt idx="5">
                  <c:v>176664</c:v>
                </c:pt>
                <c:pt idx="6">
                  <c:v>96017</c:v>
                </c:pt>
                <c:pt idx="7">
                  <c:v>93045</c:v>
                </c:pt>
                <c:pt idx="8">
                  <c:v>78478</c:v>
                </c:pt>
                <c:pt idx="9">
                  <c:v>75199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CF-4E7F-88AD-09C9B26F95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577480432"/>
        <c:axId val="-577491856"/>
      </c:barChart>
      <c:catAx>
        <c:axId val="-5774804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4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77491856"/>
        <c:crosses val="autoZero"/>
        <c:auto val="1"/>
        <c:lblAlgn val="ctr"/>
        <c:lblOffset val="100"/>
        <c:noMultiLvlLbl val="0"/>
      </c:catAx>
      <c:valAx>
        <c:axId val="-57749185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577480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748191014671285"/>
          <c:y val="0.70938386489567584"/>
          <c:w val="0.30938598629026187"/>
          <c:h val="0.15945730268564917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4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B3EC-8E93-4B6E-9869-29188B58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BG_Tourism_Comunike_January_August_2019.dot</Template>
  <TotalTime>126</TotalTime>
  <Pages>7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31</cp:revision>
  <cp:lastPrinted>2017-03-30T11:06:00Z</cp:lastPrinted>
  <dcterms:created xsi:type="dcterms:W3CDTF">2019-10-28T16:58:00Z</dcterms:created>
  <dcterms:modified xsi:type="dcterms:W3CDTF">2019-10-29T09:17:00Z</dcterms:modified>
</cp:coreProperties>
</file>