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F82EA1" w:rsidRDefault="00F82EA1" w:rsidP="0019335C">
      <w:pPr>
        <w:pStyle w:val="Title"/>
        <w:rPr>
          <w:lang w:val="bg-BG"/>
        </w:rPr>
      </w:pPr>
      <w:r w:rsidRPr="005F30B6">
        <w:t xml:space="preserve">МЕЖДУНАРОДЕН ТУРИЗЪМ – БЪЛГАРИЯ </w:t>
      </w:r>
    </w:p>
    <w:p w:rsidR="00F82EA1" w:rsidRPr="004173E2" w:rsidRDefault="00F82EA1" w:rsidP="0019335C">
      <w:pPr>
        <w:pStyle w:val="Title"/>
      </w:pPr>
      <w:r>
        <w:rPr>
          <w:lang w:val="bg-BG"/>
        </w:rPr>
        <w:t xml:space="preserve">Януари – Октомври </w:t>
      </w:r>
      <w:r>
        <w:t>2017 г.</w:t>
      </w:r>
    </w:p>
    <w:p w:rsidR="00F82EA1" w:rsidRDefault="00F82EA1" w:rsidP="005F30B6">
      <w:pPr>
        <w:pStyle w:val="Heading1"/>
      </w:pPr>
      <w:r w:rsidRPr="005F30B6">
        <w:t xml:space="preserve">Чуждестранни туристи в България </w:t>
      </w:r>
    </w:p>
    <w:p w:rsidR="00F82EA1" w:rsidRPr="005B694A" w:rsidRDefault="00F82EA1" w:rsidP="00052941">
      <w:pPr>
        <w:jc w:val="both"/>
        <w:rPr>
          <w:color w:val="auto"/>
          <w:szCs w:val="24"/>
        </w:rPr>
      </w:pPr>
      <w:r w:rsidRPr="006F366F">
        <w:rPr>
          <w:szCs w:val="24"/>
        </w:rPr>
        <w:t xml:space="preserve">През периода </w:t>
      </w:r>
      <w:r w:rsidR="00793574">
        <w:rPr>
          <w:b/>
          <w:iCs/>
          <w:szCs w:val="24"/>
          <w:lang w:val="ru-RU"/>
        </w:rPr>
        <w:t>януари-</w:t>
      </w:r>
      <w:r>
        <w:rPr>
          <w:b/>
          <w:szCs w:val="24"/>
        </w:rPr>
        <w:t>октомври</w:t>
      </w:r>
      <w:r w:rsidRPr="006F366F">
        <w:rPr>
          <w:b/>
          <w:szCs w:val="24"/>
        </w:rPr>
        <w:t xml:space="preserve"> 2017</w:t>
      </w:r>
      <w:r w:rsidRPr="006F366F">
        <w:rPr>
          <w:szCs w:val="24"/>
        </w:rPr>
        <w:t xml:space="preserve"> г. общият брой посещения на </w:t>
      </w:r>
      <w:r w:rsidRPr="006F366F">
        <w:rPr>
          <w:b/>
          <w:szCs w:val="24"/>
        </w:rPr>
        <w:t>чуждестранни туристи в България е</w:t>
      </w:r>
      <w:r w:rsidRPr="00ED48F4">
        <w:t xml:space="preserve"> </w:t>
      </w:r>
      <w:r w:rsidRPr="00ED48F4">
        <w:rPr>
          <w:b/>
          <w:szCs w:val="24"/>
        </w:rPr>
        <w:t>8</w:t>
      </w:r>
      <w:r w:rsidR="00C1563D">
        <w:rPr>
          <w:b/>
          <w:szCs w:val="24"/>
        </w:rPr>
        <w:t xml:space="preserve"> </w:t>
      </w:r>
      <w:r w:rsidRPr="00ED48F4">
        <w:rPr>
          <w:b/>
          <w:szCs w:val="24"/>
        </w:rPr>
        <w:t>026</w:t>
      </w:r>
      <w:r w:rsidR="00C1563D">
        <w:rPr>
          <w:b/>
          <w:szCs w:val="24"/>
        </w:rPr>
        <w:t xml:space="preserve"> </w:t>
      </w:r>
      <w:r w:rsidRPr="00ED48F4">
        <w:rPr>
          <w:b/>
          <w:szCs w:val="24"/>
        </w:rPr>
        <w:t>103</w:t>
      </w:r>
      <w:r>
        <w:rPr>
          <w:b/>
          <w:szCs w:val="24"/>
        </w:rPr>
        <w:t>.</w:t>
      </w:r>
      <w:r w:rsidRPr="006F366F">
        <w:rPr>
          <w:b/>
          <w:szCs w:val="24"/>
          <w:lang w:val="ru-RU"/>
        </w:rPr>
        <w:t xml:space="preserve"> </w:t>
      </w:r>
      <w:r w:rsidRPr="006F366F">
        <w:rPr>
          <w:szCs w:val="24"/>
        </w:rPr>
        <w:t xml:space="preserve">Техният брой е </w:t>
      </w:r>
      <w:r w:rsidRPr="00250859">
        <w:rPr>
          <w:b/>
          <w:szCs w:val="24"/>
        </w:rPr>
        <w:t>с 7,6</w:t>
      </w:r>
      <w:r w:rsidRPr="00250859">
        <w:rPr>
          <w:b/>
          <w:color w:val="auto"/>
        </w:rPr>
        <w:t>%</w:t>
      </w:r>
      <w:r w:rsidRPr="00DE1829">
        <w:rPr>
          <w:color w:val="auto"/>
        </w:rPr>
        <w:t xml:space="preserve"> </w:t>
      </w:r>
      <w:r w:rsidRPr="00DE1829">
        <w:rPr>
          <w:b/>
          <w:color w:val="auto"/>
          <w:szCs w:val="24"/>
        </w:rPr>
        <w:t xml:space="preserve"> </w:t>
      </w:r>
      <w:r w:rsidRPr="006F366F">
        <w:rPr>
          <w:b/>
          <w:szCs w:val="24"/>
        </w:rPr>
        <w:t>повече</w:t>
      </w:r>
      <w:r w:rsidRPr="006F366F">
        <w:rPr>
          <w:szCs w:val="24"/>
        </w:rPr>
        <w:t xml:space="preserve"> спрямо </w:t>
      </w:r>
      <w:r>
        <w:rPr>
          <w:szCs w:val="24"/>
        </w:rPr>
        <w:t xml:space="preserve">периода </w:t>
      </w:r>
      <w:r w:rsidRPr="006F366F">
        <w:rPr>
          <w:iCs/>
          <w:szCs w:val="24"/>
          <w:lang w:val="ru-RU"/>
        </w:rPr>
        <w:t xml:space="preserve">януари </w:t>
      </w:r>
      <w:r>
        <w:rPr>
          <w:iCs/>
          <w:szCs w:val="24"/>
          <w:lang w:val="ru-RU"/>
        </w:rPr>
        <w:t xml:space="preserve">– </w:t>
      </w:r>
      <w:r>
        <w:rPr>
          <w:szCs w:val="24"/>
        </w:rPr>
        <w:t xml:space="preserve">октомври </w:t>
      </w:r>
      <w:r w:rsidRPr="006F366F">
        <w:rPr>
          <w:b/>
          <w:szCs w:val="24"/>
        </w:rPr>
        <w:t xml:space="preserve"> </w:t>
      </w:r>
      <w:r w:rsidRPr="006F366F">
        <w:rPr>
          <w:szCs w:val="24"/>
        </w:rPr>
        <w:t>20</w:t>
      </w:r>
      <w:r w:rsidRPr="006F366F">
        <w:rPr>
          <w:szCs w:val="24"/>
          <w:lang w:val="ru-RU"/>
        </w:rPr>
        <w:t xml:space="preserve">16 </w:t>
      </w:r>
      <w:r w:rsidRPr="006F366F">
        <w:rPr>
          <w:szCs w:val="24"/>
        </w:rPr>
        <w:t>г.</w:t>
      </w:r>
      <w:bookmarkStart w:id="0" w:name="_GoBack"/>
      <w:bookmarkEnd w:id="0"/>
    </w:p>
    <w:p w:rsidR="00F82EA1" w:rsidRPr="00272218" w:rsidRDefault="00F82EA1" w:rsidP="00760567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1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 xml:space="preserve">. Посещения на чуждестранни туристи в България през януари </w:t>
      </w:r>
      <w:r>
        <w:rPr>
          <w:color w:val="4F6228"/>
        </w:rPr>
        <w:t>–</w:t>
      </w:r>
      <w:r w:rsidRPr="00760567">
        <w:rPr>
          <w:color w:val="4F6228"/>
        </w:rPr>
        <w:t xml:space="preserve"> </w:t>
      </w:r>
      <w:r>
        <w:rPr>
          <w:color w:val="4F6228"/>
        </w:rPr>
        <w:t xml:space="preserve">октомври </w:t>
      </w:r>
      <w:r w:rsidRPr="00272218">
        <w:rPr>
          <w:color w:val="4F6228"/>
        </w:rPr>
        <w:t>(брой)</w:t>
      </w:r>
    </w:p>
    <w:p w:rsidR="00F82EA1" w:rsidRDefault="00F82EA1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93776B">
        <w:rPr>
          <w:noProof/>
          <w:lang w:eastAsia="bg-BG"/>
        </w:rPr>
        <w:object w:dxaOrig="8751" w:dyaOrig="3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150.75pt" o:ole="">
            <v:imagedata r:id="rId7" o:title="" cropbottom="-22f"/>
            <o:lock v:ext="edit" aspectratio="f"/>
          </v:shape>
          <o:OLEObject Type="Embed" ProgID="Excel.Sheet.8" ShapeID="_x0000_i1025" DrawAspect="Content" ObjectID="_1573466401" r:id="rId8"/>
        </w:object>
      </w:r>
    </w:p>
    <w:p w:rsidR="00F82EA1" w:rsidRPr="00E35903" w:rsidRDefault="00F82EA1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F82EA1" w:rsidRPr="004173E2" w:rsidRDefault="00F82EA1" w:rsidP="00BA12B6">
      <w:pPr>
        <w:rPr>
          <w:b/>
          <w:color w:val="auto"/>
          <w:szCs w:val="24"/>
          <w:lang w:val="ru-RU"/>
        </w:rPr>
      </w:pPr>
    </w:p>
    <w:p w:rsidR="00F82EA1" w:rsidRDefault="00F82EA1" w:rsidP="00052941">
      <w:pPr>
        <w:jc w:val="both"/>
        <w:rPr>
          <w:b/>
          <w:bCs/>
          <w:color w:val="auto"/>
          <w:szCs w:val="24"/>
          <w:lang w:val="ru-RU"/>
        </w:rPr>
      </w:pPr>
      <w:r w:rsidRPr="006F366F">
        <w:rPr>
          <w:b/>
          <w:color w:val="auto"/>
          <w:szCs w:val="24"/>
          <w:lang w:val="ru-RU"/>
        </w:rPr>
        <w:t>Увеличение</w:t>
      </w:r>
      <w:r>
        <w:rPr>
          <w:b/>
          <w:color w:val="auto"/>
          <w:szCs w:val="24"/>
          <w:lang w:val="ru-RU"/>
        </w:rPr>
        <w:t xml:space="preserve"> </w:t>
      </w:r>
      <w:r w:rsidRPr="006F366F">
        <w:rPr>
          <w:b/>
          <w:color w:val="auto"/>
          <w:szCs w:val="24"/>
          <w:lang w:val="ru-RU"/>
        </w:rPr>
        <w:t xml:space="preserve"> </w:t>
      </w:r>
      <w:r w:rsidRPr="006F366F">
        <w:rPr>
          <w:color w:val="auto"/>
          <w:szCs w:val="24"/>
        </w:rPr>
        <w:t>има</w:t>
      </w:r>
      <w:r>
        <w:rPr>
          <w:color w:val="auto"/>
          <w:szCs w:val="24"/>
        </w:rPr>
        <w:t xml:space="preserve"> </w:t>
      </w:r>
      <w:r w:rsidRPr="006F366F">
        <w:rPr>
          <w:color w:val="auto"/>
          <w:szCs w:val="24"/>
          <w:lang w:val="ru-RU"/>
        </w:rPr>
        <w:t xml:space="preserve"> при</w:t>
      </w:r>
      <w:r>
        <w:rPr>
          <w:color w:val="auto"/>
          <w:szCs w:val="24"/>
          <w:lang w:val="ru-RU"/>
        </w:rPr>
        <w:t xml:space="preserve"> </w:t>
      </w:r>
      <w:r w:rsidRPr="006F366F">
        <w:rPr>
          <w:color w:val="auto"/>
          <w:szCs w:val="24"/>
          <w:lang w:val="ru-RU"/>
        </w:rPr>
        <w:t xml:space="preserve"> </w:t>
      </w:r>
      <w:r w:rsidRPr="006F366F">
        <w:rPr>
          <w:bCs/>
          <w:color w:val="auto"/>
          <w:szCs w:val="24"/>
        </w:rPr>
        <w:t>посещенията</w:t>
      </w:r>
      <w:r>
        <w:rPr>
          <w:bCs/>
          <w:color w:val="auto"/>
          <w:szCs w:val="24"/>
        </w:rPr>
        <w:t xml:space="preserve"> </w:t>
      </w:r>
      <w:r w:rsidRPr="006F366F">
        <w:rPr>
          <w:bCs/>
          <w:color w:val="auto"/>
          <w:szCs w:val="24"/>
          <w:lang w:val="ru-RU"/>
        </w:rPr>
        <w:t xml:space="preserve"> с</w:t>
      </w:r>
      <w:r>
        <w:rPr>
          <w:bCs/>
          <w:color w:val="auto"/>
          <w:szCs w:val="24"/>
          <w:lang w:val="ru-RU"/>
        </w:rPr>
        <w:t xml:space="preserve"> </w:t>
      </w:r>
      <w:r w:rsidRPr="006F366F">
        <w:rPr>
          <w:bCs/>
          <w:color w:val="auto"/>
          <w:szCs w:val="24"/>
          <w:lang w:val="ru-RU"/>
        </w:rPr>
        <w:t xml:space="preserve"> цел</w:t>
      </w:r>
      <w:r>
        <w:rPr>
          <w:bCs/>
          <w:color w:val="auto"/>
          <w:szCs w:val="24"/>
          <w:lang w:val="ru-RU"/>
        </w:rPr>
        <w:t xml:space="preserve"> </w:t>
      </w:r>
      <w:r w:rsidRPr="006F366F">
        <w:rPr>
          <w:b/>
          <w:bCs/>
          <w:color w:val="auto"/>
          <w:szCs w:val="24"/>
          <w:lang w:val="ru-RU"/>
        </w:rPr>
        <w:t xml:space="preserve"> </w:t>
      </w:r>
      <w:r w:rsidRPr="006F366F">
        <w:rPr>
          <w:b/>
          <w:bCs/>
          <w:color w:val="auto"/>
          <w:szCs w:val="24"/>
        </w:rPr>
        <w:t>почивка</w:t>
      </w:r>
      <w:r>
        <w:rPr>
          <w:b/>
          <w:bCs/>
          <w:color w:val="auto"/>
          <w:szCs w:val="24"/>
        </w:rPr>
        <w:t xml:space="preserve"> </w:t>
      </w:r>
      <w:r w:rsidRPr="006F366F">
        <w:rPr>
          <w:b/>
          <w:bCs/>
          <w:color w:val="auto"/>
          <w:szCs w:val="24"/>
        </w:rPr>
        <w:t xml:space="preserve"> и </w:t>
      </w:r>
      <w:r>
        <w:rPr>
          <w:b/>
          <w:bCs/>
          <w:color w:val="auto"/>
          <w:szCs w:val="24"/>
        </w:rPr>
        <w:t xml:space="preserve"> </w:t>
      </w:r>
      <w:r w:rsidRPr="006F366F">
        <w:rPr>
          <w:b/>
          <w:bCs/>
          <w:color w:val="auto"/>
          <w:szCs w:val="24"/>
        </w:rPr>
        <w:t>ваканция</w:t>
      </w:r>
      <w:r w:rsidRPr="006F366F">
        <w:rPr>
          <w:bCs/>
          <w:color w:val="auto"/>
          <w:szCs w:val="24"/>
        </w:rPr>
        <w:t>,</w:t>
      </w:r>
      <w:r>
        <w:rPr>
          <w:bCs/>
          <w:color w:val="auto"/>
          <w:szCs w:val="24"/>
        </w:rPr>
        <w:t xml:space="preserve"> </w:t>
      </w:r>
      <w:r w:rsidRPr="006F366F">
        <w:rPr>
          <w:bCs/>
          <w:color w:val="auto"/>
          <w:szCs w:val="24"/>
        </w:rPr>
        <w:t xml:space="preserve"> като са</w:t>
      </w:r>
      <w:r>
        <w:rPr>
          <w:bCs/>
          <w:color w:val="auto"/>
          <w:szCs w:val="24"/>
        </w:rPr>
        <w:t xml:space="preserve"> </w:t>
      </w:r>
      <w:r w:rsidRPr="006F366F">
        <w:rPr>
          <w:bCs/>
          <w:color w:val="auto"/>
          <w:szCs w:val="24"/>
        </w:rPr>
        <w:t xml:space="preserve"> реализирани</w:t>
      </w:r>
      <w:r w:rsidRPr="006F366F">
        <w:rPr>
          <w:bCs/>
          <w:color w:val="auto"/>
          <w:szCs w:val="24"/>
          <w:lang w:val="ru-RU"/>
        </w:rPr>
        <w:t xml:space="preserve"> </w:t>
      </w:r>
      <w:r w:rsidRPr="006F366F">
        <w:rPr>
          <w:b/>
          <w:bCs/>
          <w:color w:val="auto"/>
          <w:szCs w:val="24"/>
          <w:lang w:val="ru-RU"/>
        </w:rPr>
        <w:t xml:space="preserve"> </w:t>
      </w:r>
    </w:p>
    <w:p w:rsidR="00F82EA1" w:rsidRPr="00052941" w:rsidRDefault="00F82EA1" w:rsidP="00713A83">
      <w:pPr>
        <w:jc w:val="both"/>
        <w:rPr>
          <w:b/>
          <w:bCs/>
          <w:color w:val="auto"/>
          <w:szCs w:val="24"/>
          <w:lang w:val="ru-RU"/>
        </w:rPr>
      </w:pPr>
      <w:r w:rsidRPr="002C1627">
        <w:rPr>
          <w:b/>
          <w:bCs/>
          <w:color w:val="auto"/>
          <w:szCs w:val="24"/>
        </w:rPr>
        <w:t>5</w:t>
      </w:r>
      <w:r w:rsidR="002C1627" w:rsidRPr="002C1627">
        <w:rPr>
          <w:b/>
          <w:bCs/>
          <w:color w:val="auto"/>
          <w:szCs w:val="24"/>
        </w:rPr>
        <w:t xml:space="preserve"> </w:t>
      </w:r>
      <w:r w:rsidRPr="002C1627">
        <w:rPr>
          <w:b/>
          <w:bCs/>
          <w:color w:val="auto"/>
          <w:szCs w:val="24"/>
        </w:rPr>
        <w:t>111</w:t>
      </w:r>
      <w:r w:rsidR="002C1627" w:rsidRPr="002C1627">
        <w:rPr>
          <w:b/>
          <w:bCs/>
          <w:color w:val="auto"/>
          <w:szCs w:val="24"/>
        </w:rPr>
        <w:t xml:space="preserve"> </w:t>
      </w:r>
      <w:r w:rsidRPr="002C1627">
        <w:rPr>
          <w:b/>
          <w:bCs/>
          <w:color w:val="auto"/>
          <w:szCs w:val="24"/>
        </w:rPr>
        <w:t>109 посещения</w:t>
      </w:r>
      <w:r w:rsidRPr="006F366F">
        <w:rPr>
          <w:bCs/>
          <w:color w:val="auto"/>
          <w:szCs w:val="24"/>
        </w:rPr>
        <w:t xml:space="preserve"> и </w:t>
      </w:r>
      <w:r w:rsidRPr="006F366F">
        <w:rPr>
          <w:b/>
          <w:bCs/>
          <w:color w:val="auto"/>
          <w:szCs w:val="24"/>
        </w:rPr>
        <w:t xml:space="preserve">ръст </w:t>
      </w:r>
      <w:r w:rsidRPr="006F366F">
        <w:rPr>
          <w:b/>
          <w:color w:val="auto"/>
          <w:szCs w:val="24"/>
          <w:lang w:val="ru-RU"/>
        </w:rPr>
        <w:t>от</w:t>
      </w:r>
      <w:r w:rsidRPr="004E5226">
        <w:rPr>
          <w:b/>
          <w:color w:val="auto"/>
          <w:szCs w:val="24"/>
          <w:lang w:val="ru-RU"/>
        </w:rPr>
        <w:t xml:space="preserve"> </w:t>
      </w:r>
      <w:r w:rsidRPr="00E92752">
        <w:rPr>
          <w:b/>
          <w:color w:val="auto"/>
          <w:szCs w:val="24"/>
          <w:lang w:val="ru-RU"/>
        </w:rPr>
        <w:t>7,3</w:t>
      </w:r>
      <w:r w:rsidRPr="006F366F">
        <w:rPr>
          <w:b/>
          <w:color w:val="auto"/>
          <w:szCs w:val="24"/>
          <w:lang w:val="ru-RU"/>
        </w:rPr>
        <w:t>%</w:t>
      </w:r>
      <w:r w:rsidRPr="004E5226">
        <w:rPr>
          <w:b/>
          <w:color w:val="auto"/>
          <w:szCs w:val="24"/>
          <w:lang w:val="ru-RU"/>
        </w:rPr>
        <w:t>.</w:t>
      </w:r>
      <w:r w:rsidRPr="006F366F">
        <w:rPr>
          <w:b/>
          <w:color w:val="auto"/>
          <w:szCs w:val="24"/>
          <w:lang w:val="ru-RU"/>
        </w:rPr>
        <w:t xml:space="preserve"> </w:t>
      </w:r>
      <w:r>
        <w:rPr>
          <w:b/>
          <w:color w:val="auto"/>
          <w:szCs w:val="24"/>
        </w:rPr>
        <w:t>П</w:t>
      </w:r>
      <w:r w:rsidRPr="006F366F">
        <w:rPr>
          <w:b/>
          <w:color w:val="auto"/>
          <w:szCs w:val="24"/>
          <w:lang w:val="ru-RU"/>
        </w:rPr>
        <w:t xml:space="preserve">осещенията с цел </w:t>
      </w:r>
      <w:r w:rsidRPr="006F366F">
        <w:rPr>
          <w:b/>
          <w:color w:val="auto"/>
          <w:szCs w:val="24"/>
        </w:rPr>
        <w:t>гостуване</w:t>
      </w:r>
      <w:r w:rsidRPr="004E5226">
        <w:rPr>
          <w:b/>
          <w:color w:val="auto"/>
          <w:szCs w:val="24"/>
          <w:lang w:val="ru-RU"/>
        </w:rPr>
        <w:t xml:space="preserve"> </w:t>
      </w:r>
      <w:r>
        <w:rPr>
          <w:b/>
          <w:color w:val="auto"/>
          <w:szCs w:val="24"/>
        </w:rPr>
        <w:t xml:space="preserve">са </w:t>
      </w:r>
      <w:r w:rsidRPr="00776DB7">
        <w:rPr>
          <w:b/>
          <w:color w:val="auto"/>
          <w:szCs w:val="24"/>
        </w:rPr>
        <w:t>572 264</w:t>
      </w:r>
      <w:r w:rsidRPr="00052941">
        <w:rPr>
          <w:b/>
          <w:color w:val="auto"/>
          <w:szCs w:val="24"/>
          <w:lang w:val="ru-RU"/>
        </w:rPr>
        <w:t>,</w:t>
      </w:r>
      <w:r>
        <w:rPr>
          <w:color w:val="auto"/>
          <w:szCs w:val="24"/>
          <w:lang w:val="ru-RU"/>
        </w:rPr>
        <w:t xml:space="preserve"> като те намаляват </w:t>
      </w:r>
      <w:r>
        <w:rPr>
          <w:b/>
          <w:bCs/>
          <w:color w:val="auto"/>
          <w:szCs w:val="24"/>
        </w:rPr>
        <w:t>с</w:t>
      </w:r>
      <w:r w:rsidRPr="00052941">
        <w:rPr>
          <w:b/>
          <w:bCs/>
          <w:color w:val="auto"/>
          <w:szCs w:val="24"/>
          <w:lang w:val="ru-RU"/>
        </w:rPr>
        <w:t xml:space="preserve"> </w:t>
      </w:r>
      <w:r w:rsidR="00713A83" w:rsidRPr="00713A83">
        <w:rPr>
          <w:b/>
          <w:bCs/>
          <w:color w:val="auto"/>
          <w:szCs w:val="24"/>
          <w:lang w:val="ru-RU"/>
        </w:rPr>
        <w:t>3,7</w:t>
      </w:r>
      <w:r>
        <w:rPr>
          <w:b/>
          <w:bCs/>
          <w:color w:val="auto"/>
          <w:szCs w:val="24"/>
          <w:lang w:val="ru-RU"/>
        </w:rPr>
        <w:t xml:space="preserve"> </w:t>
      </w:r>
      <w:r w:rsidRPr="006F366F">
        <w:rPr>
          <w:b/>
          <w:bCs/>
          <w:color w:val="auto"/>
          <w:szCs w:val="24"/>
          <w:lang w:val="ru-RU"/>
        </w:rPr>
        <w:t xml:space="preserve">%. </w:t>
      </w:r>
      <w:r w:rsidRPr="006F366F">
        <w:rPr>
          <w:color w:val="auto"/>
          <w:szCs w:val="24"/>
          <w:lang w:val="ru-RU"/>
        </w:rPr>
        <w:t xml:space="preserve">Посещенията с </w:t>
      </w:r>
      <w:r w:rsidRPr="006F366F">
        <w:rPr>
          <w:b/>
          <w:color w:val="auto"/>
          <w:szCs w:val="24"/>
          <w:lang w:val="ru-RU"/>
        </w:rPr>
        <w:t>цел бизнес са</w:t>
      </w:r>
      <w:r>
        <w:rPr>
          <w:b/>
          <w:color w:val="auto"/>
          <w:szCs w:val="24"/>
          <w:lang w:val="ru-RU"/>
        </w:rPr>
        <w:t xml:space="preserve"> </w:t>
      </w:r>
      <w:r w:rsidRPr="00E92752">
        <w:rPr>
          <w:b/>
          <w:color w:val="auto"/>
          <w:szCs w:val="24"/>
          <w:lang w:val="ru-RU"/>
        </w:rPr>
        <w:t>1</w:t>
      </w:r>
      <w:r>
        <w:rPr>
          <w:b/>
          <w:color w:val="auto"/>
          <w:szCs w:val="24"/>
          <w:lang w:val="ru-RU"/>
        </w:rPr>
        <w:t xml:space="preserve"> </w:t>
      </w:r>
      <w:r w:rsidRPr="00E92752">
        <w:rPr>
          <w:b/>
          <w:color w:val="auto"/>
          <w:szCs w:val="24"/>
          <w:lang w:val="ru-RU"/>
        </w:rPr>
        <w:t>330</w:t>
      </w:r>
      <w:r>
        <w:rPr>
          <w:b/>
          <w:color w:val="auto"/>
          <w:szCs w:val="24"/>
          <w:lang w:val="ru-RU"/>
        </w:rPr>
        <w:t xml:space="preserve"> </w:t>
      </w:r>
      <w:r w:rsidRPr="00E92752">
        <w:rPr>
          <w:b/>
          <w:color w:val="auto"/>
          <w:szCs w:val="24"/>
          <w:lang w:val="ru-RU"/>
        </w:rPr>
        <w:t>972</w:t>
      </w:r>
      <w:r w:rsidRPr="006F366F">
        <w:rPr>
          <w:b/>
          <w:bCs/>
          <w:color w:val="auto"/>
          <w:szCs w:val="24"/>
        </w:rPr>
        <w:t xml:space="preserve">, </w:t>
      </w:r>
      <w:r w:rsidRPr="006F366F">
        <w:rPr>
          <w:bCs/>
          <w:color w:val="auto"/>
          <w:szCs w:val="24"/>
        </w:rPr>
        <w:t>като те</w:t>
      </w:r>
      <w:r w:rsidRPr="006F366F">
        <w:rPr>
          <w:b/>
          <w:bCs/>
          <w:color w:val="auto"/>
          <w:szCs w:val="24"/>
        </w:rPr>
        <w:t xml:space="preserve"> с</w:t>
      </w:r>
      <w:r w:rsidRPr="006F366F">
        <w:rPr>
          <w:b/>
          <w:bCs/>
          <w:color w:val="auto"/>
          <w:szCs w:val="24"/>
          <w:lang w:val="en-US"/>
        </w:rPr>
        <w:t>e</w:t>
      </w:r>
      <w:r w:rsidRPr="006F366F">
        <w:rPr>
          <w:b/>
          <w:bCs/>
          <w:color w:val="auto"/>
          <w:szCs w:val="24"/>
          <w:lang w:val="ru-RU"/>
        </w:rPr>
        <w:t xml:space="preserve"> увеличават с</w:t>
      </w:r>
      <w:r>
        <w:rPr>
          <w:b/>
          <w:bCs/>
          <w:color w:val="auto"/>
          <w:szCs w:val="24"/>
          <w:lang w:val="ru-RU"/>
        </w:rPr>
        <w:t xml:space="preserve"> </w:t>
      </w:r>
      <w:r w:rsidRPr="00E92752">
        <w:rPr>
          <w:b/>
          <w:bCs/>
          <w:color w:val="auto"/>
          <w:szCs w:val="24"/>
          <w:lang w:val="ru-RU"/>
        </w:rPr>
        <w:t>9,8</w:t>
      </w:r>
      <w:r w:rsidRPr="00B33B8E">
        <w:rPr>
          <w:b/>
          <w:bCs/>
          <w:color w:val="auto"/>
          <w:szCs w:val="24"/>
        </w:rPr>
        <w:t>%</w:t>
      </w:r>
      <w:r w:rsidRPr="00052941">
        <w:rPr>
          <w:b/>
          <w:bCs/>
          <w:color w:val="auto"/>
          <w:szCs w:val="24"/>
        </w:rPr>
        <w:t>.</w:t>
      </w:r>
      <w:r w:rsidRPr="00E06105">
        <w:rPr>
          <w:b/>
          <w:bCs/>
          <w:color w:val="FF0000"/>
          <w:szCs w:val="24"/>
        </w:rPr>
        <w:t xml:space="preserve"> </w:t>
      </w:r>
      <w:r w:rsidRPr="006F366F">
        <w:rPr>
          <w:bCs/>
          <w:color w:val="auto"/>
          <w:szCs w:val="24"/>
        </w:rPr>
        <w:t>Посещенията</w:t>
      </w:r>
      <w:r w:rsidRPr="006F366F">
        <w:rPr>
          <w:b/>
          <w:bCs/>
          <w:color w:val="auto"/>
          <w:szCs w:val="24"/>
        </w:rPr>
        <w:t xml:space="preserve"> с други туристически цели с</w:t>
      </w:r>
      <w:r>
        <w:rPr>
          <w:b/>
          <w:bCs/>
          <w:color w:val="auto"/>
          <w:szCs w:val="24"/>
        </w:rPr>
        <w:t xml:space="preserve">а </w:t>
      </w:r>
      <w:r w:rsidRPr="00776DB7">
        <w:rPr>
          <w:b/>
          <w:bCs/>
          <w:color w:val="auto"/>
          <w:szCs w:val="24"/>
        </w:rPr>
        <w:t>1 011 758</w:t>
      </w:r>
      <w:r w:rsidRPr="004E5226">
        <w:rPr>
          <w:b/>
          <w:bCs/>
          <w:color w:val="auto"/>
          <w:szCs w:val="24"/>
          <w:lang w:val="ru-RU"/>
        </w:rPr>
        <w:t>.</w:t>
      </w:r>
    </w:p>
    <w:p w:rsidR="00F82EA1" w:rsidRPr="00E3280C" w:rsidRDefault="00F82EA1" w:rsidP="00052941">
      <w:pPr>
        <w:jc w:val="both"/>
        <w:rPr>
          <w:b/>
          <w:bCs/>
          <w:color w:val="auto"/>
          <w:szCs w:val="24"/>
        </w:rPr>
      </w:pPr>
      <w:r w:rsidRPr="006F366F">
        <w:rPr>
          <w:b/>
          <w:bCs/>
          <w:color w:val="auto"/>
          <w:szCs w:val="24"/>
        </w:rPr>
        <w:t xml:space="preserve">Посещенията с цел почивка и ваканция </w:t>
      </w:r>
      <w:r w:rsidRPr="00E3280C">
        <w:rPr>
          <w:b/>
          <w:bCs/>
          <w:color w:val="auto"/>
          <w:szCs w:val="24"/>
        </w:rPr>
        <w:t xml:space="preserve">формират </w:t>
      </w:r>
      <w:r>
        <w:rPr>
          <w:b/>
          <w:bCs/>
          <w:color w:val="auto"/>
          <w:szCs w:val="24"/>
          <w:lang w:val="ru-RU"/>
        </w:rPr>
        <w:t>6</w:t>
      </w:r>
      <w:r w:rsidRPr="00760567">
        <w:rPr>
          <w:b/>
          <w:bCs/>
          <w:color w:val="auto"/>
          <w:szCs w:val="24"/>
          <w:lang w:val="ru-RU"/>
        </w:rPr>
        <w:t>3</w:t>
      </w:r>
      <w:r>
        <w:rPr>
          <w:b/>
          <w:bCs/>
          <w:color w:val="auto"/>
          <w:szCs w:val="24"/>
          <w:lang w:val="ru-RU"/>
        </w:rPr>
        <w:t>,68</w:t>
      </w:r>
      <w:r w:rsidRPr="00E3280C">
        <w:rPr>
          <w:b/>
          <w:bCs/>
          <w:color w:val="auto"/>
          <w:szCs w:val="24"/>
        </w:rPr>
        <w:t>% от всички туристически посещения.</w:t>
      </w:r>
    </w:p>
    <w:p w:rsidR="00F82EA1" w:rsidRPr="00272218" w:rsidRDefault="00F82EA1" w:rsidP="00ED6549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2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 xml:space="preserve">. Структура на посещенията на чуждестранните туристи по цели през януари </w:t>
      </w:r>
      <w:r>
        <w:rPr>
          <w:color w:val="4F6228"/>
        </w:rPr>
        <w:t xml:space="preserve">– октомври </w:t>
      </w:r>
      <w:r w:rsidRPr="00272218">
        <w:rPr>
          <w:color w:val="4F6228"/>
        </w:rPr>
        <w:t>2017 г.</w:t>
      </w:r>
      <w:r w:rsidRPr="004E5226">
        <w:rPr>
          <w:color w:val="4F6228"/>
          <w:lang w:val="ru-RU"/>
        </w:rPr>
        <w:t xml:space="preserve"> </w:t>
      </w:r>
      <w:r w:rsidRPr="00272218">
        <w:rPr>
          <w:color w:val="4F6228"/>
        </w:rPr>
        <w:t>в %</w:t>
      </w:r>
    </w:p>
    <w:p w:rsidR="00F82EA1" w:rsidRPr="004173E2" w:rsidRDefault="00F82EA1" w:rsidP="008430AD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lang w:val="ru-RU"/>
        </w:rPr>
      </w:pPr>
      <w:r w:rsidRPr="0093776B">
        <w:rPr>
          <w:noProof/>
          <w:lang w:eastAsia="bg-BG"/>
        </w:rPr>
        <w:object w:dxaOrig="5864" w:dyaOrig="3321">
          <v:shape id="_x0000_i1026" type="#_x0000_t75" style="width:293.25pt;height:164.25pt" o:ole="">
            <v:imagedata r:id="rId9" o:title=""/>
            <o:lock v:ext="edit" aspectratio="f"/>
          </v:shape>
          <o:OLEObject Type="Embed" ProgID="Excel.Sheet.8" ShapeID="_x0000_i1026" DrawAspect="Content" ObjectID="_1573466402" r:id="rId10"/>
        </w:object>
      </w:r>
      <w:r>
        <w:rPr>
          <w:rStyle w:val="Emphasis"/>
          <w:rFonts w:cs="Calibri"/>
        </w:rPr>
        <w:t xml:space="preserve"> </w:t>
      </w:r>
    </w:p>
    <w:p w:rsidR="00F82EA1" w:rsidRPr="004E5226" w:rsidRDefault="00F82EA1" w:rsidP="008030A3">
      <w:pPr>
        <w:pStyle w:val="Header"/>
        <w:tabs>
          <w:tab w:val="clear" w:pos="4536"/>
          <w:tab w:val="clear" w:pos="9072"/>
        </w:tabs>
        <w:spacing w:after="120" w:line="264" w:lineRule="auto"/>
        <w:ind w:left="4956"/>
        <w:rPr>
          <w:rStyle w:val="Emphasis"/>
          <w:rFonts w:cs="Calibri"/>
          <w:noProof/>
          <w:lang w:val="ru-RU" w:eastAsia="bg-BG"/>
        </w:rPr>
      </w:pPr>
      <w:r w:rsidRPr="00E35903">
        <w:rPr>
          <w:rStyle w:val="Emphasis"/>
          <w:rFonts w:cs="Calibri"/>
        </w:rPr>
        <w:t>Източник: НСИ</w:t>
      </w:r>
    </w:p>
    <w:p w:rsidR="00F82EA1" w:rsidRPr="004173E2" w:rsidRDefault="00F82EA1" w:rsidP="008A5451">
      <w:pPr>
        <w:pStyle w:val="Caption"/>
        <w:rPr>
          <w:color w:val="4F6228"/>
          <w:lang w:val="ru-RU"/>
        </w:rPr>
      </w:pPr>
    </w:p>
    <w:p w:rsidR="00F82EA1" w:rsidRPr="00272218" w:rsidRDefault="00F82EA1" w:rsidP="00ED6549">
      <w:pPr>
        <w:pStyle w:val="Caption"/>
        <w:rPr>
          <w:color w:val="4F6228"/>
        </w:rPr>
      </w:pPr>
      <w:r w:rsidRPr="00272218">
        <w:rPr>
          <w:color w:val="4F6228"/>
        </w:rPr>
        <w:lastRenderedPageBreak/>
        <w:t xml:space="preserve">Таблица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Таблица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1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>. Посещения на чуждестран</w:t>
      </w:r>
      <w:r>
        <w:rPr>
          <w:color w:val="4F6228"/>
        </w:rPr>
        <w:t>ни туристи в България, януари – октомври 2017 г.</w:t>
      </w:r>
      <w:r w:rsidRPr="008030A3">
        <w:rPr>
          <w:color w:val="4F6228"/>
          <w:lang w:val="ru-RU"/>
        </w:rPr>
        <w:t xml:space="preserve"> </w:t>
      </w:r>
      <w:r>
        <w:rPr>
          <w:color w:val="4F6228"/>
        </w:rPr>
        <w:t xml:space="preserve">/ януари –октомври </w:t>
      </w:r>
      <w:r w:rsidRPr="00272218">
        <w:rPr>
          <w:color w:val="4F6228"/>
        </w:rPr>
        <w:t xml:space="preserve">  2016 г.</w:t>
      </w:r>
    </w:p>
    <w:tbl>
      <w:tblPr>
        <w:tblW w:w="8944" w:type="dxa"/>
        <w:tblInd w:w="108" w:type="dxa"/>
        <w:tbl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single" w:sz="8" w:space="0" w:color="146834"/>
          <w:insideV w:val="single" w:sz="8" w:space="0" w:color="146834"/>
        </w:tblBorders>
        <w:tblLayout w:type="fixed"/>
        <w:tblLook w:val="0020" w:firstRow="1" w:lastRow="0" w:firstColumn="0" w:lastColumn="0" w:noHBand="0" w:noVBand="0"/>
      </w:tblPr>
      <w:tblGrid>
        <w:gridCol w:w="875"/>
        <w:gridCol w:w="2702"/>
        <w:gridCol w:w="1789"/>
        <w:gridCol w:w="1789"/>
        <w:gridCol w:w="1789"/>
      </w:tblGrid>
      <w:tr w:rsidR="00F82EA1" w:rsidRPr="00AB33F1" w:rsidTr="002C707C">
        <w:trPr>
          <w:trHeight w:val="17"/>
          <w:tblHeader/>
        </w:trPr>
        <w:tc>
          <w:tcPr>
            <w:tcW w:w="875" w:type="dxa"/>
            <w:shd w:val="clear" w:color="auto" w:fill="D9D9D9"/>
            <w:vAlign w:val="center"/>
          </w:tcPr>
          <w:p w:rsidR="00F82EA1" w:rsidRPr="006D73EB" w:rsidRDefault="00F82EA1" w:rsidP="002C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2" w:type="dxa"/>
            <w:shd w:val="clear" w:color="auto" w:fill="D9D9D9"/>
            <w:vAlign w:val="center"/>
          </w:tcPr>
          <w:p w:rsidR="00F82EA1" w:rsidRPr="00AB33F1" w:rsidRDefault="00F82EA1" w:rsidP="002C707C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789" w:type="dxa"/>
            <w:shd w:val="clear" w:color="auto" w:fill="D9D9D9"/>
            <w:vAlign w:val="center"/>
          </w:tcPr>
          <w:p w:rsidR="00F82EA1" w:rsidRPr="00AB33F1" w:rsidRDefault="00F82EA1" w:rsidP="002C707C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789" w:type="dxa"/>
            <w:shd w:val="clear" w:color="auto" w:fill="D9D9D9"/>
            <w:vAlign w:val="center"/>
          </w:tcPr>
          <w:p w:rsidR="00F82EA1" w:rsidRPr="00AB33F1" w:rsidRDefault="00F82EA1" w:rsidP="002C707C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F82EA1" w:rsidRPr="00AB33F1" w:rsidRDefault="00F82EA1" w:rsidP="002C707C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789" w:type="dxa"/>
            <w:shd w:val="clear" w:color="auto" w:fill="D9D9D9"/>
            <w:vAlign w:val="center"/>
          </w:tcPr>
          <w:p w:rsidR="00F82EA1" w:rsidRPr="00AB33F1" w:rsidRDefault="00F82EA1" w:rsidP="002C707C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F82EA1" w:rsidRPr="00AB33F1" w:rsidRDefault="00F82EA1" w:rsidP="002C707C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F82EA1" w:rsidRPr="00AB33F1" w:rsidTr="002C707C">
        <w:trPr>
          <w:trHeight w:val="308"/>
        </w:trPr>
        <w:tc>
          <w:tcPr>
            <w:tcW w:w="3577" w:type="dxa"/>
            <w:gridSpan w:val="2"/>
            <w:shd w:val="clear" w:color="auto" w:fill="146834"/>
          </w:tcPr>
          <w:p w:rsidR="00F82EA1" w:rsidRPr="00B7342C" w:rsidRDefault="00F82EA1" w:rsidP="002C707C">
            <w:pPr>
              <w:rPr>
                <w:b/>
                <w:szCs w:val="24"/>
              </w:rPr>
            </w:pPr>
            <w:r w:rsidRPr="00B11117">
              <w:rPr>
                <w:b/>
                <w:color w:val="FFFFFF"/>
                <w:szCs w:val="24"/>
              </w:rPr>
              <w:t>Общо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789" w:type="dxa"/>
            <w:shd w:val="clear" w:color="auto" w:fill="006600"/>
          </w:tcPr>
          <w:p w:rsidR="00F82EA1" w:rsidRPr="004E5226" w:rsidRDefault="00F82EA1" w:rsidP="002C707C">
            <w:pPr>
              <w:jc w:val="right"/>
              <w:rPr>
                <w:b/>
                <w:color w:val="auto"/>
                <w:szCs w:val="24"/>
              </w:rPr>
            </w:pPr>
            <w:r w:rsidRPr="00821FBD">
              <w:rPr>
                <w:b/>
                <w:color w:val="auto"/>
                <w:szCs w:val="24"/>
              </w:rPr>
              <w:t>8 026 103</w:t>
            </w:r>
          </w:p>
        </w:tc>
        <w:tc>
          <w:tcPr>
            <w:tcW w:w="1789" w:type="dxa"/>
            <w:shd w:val="clear" w:color="auto" w:fill="006600"/>
          </w:tcPr>
          <w:p w:rsidR="00F82EA1" w:rsidRPr="004E5226" w:rsidRDefault="00F82EA1" w:rsidP="002C707C">
            <w:pPr>
              <w:jc w:val="right"/>
              <w:rPr>
                <w:b/>
                <w:color w:val="auto"/>
                <w:szCs w:val="24"/>
              </w:rPr>
            </w:pPr>
            <w:r w:rsidRPr="009269C3">
              <w:rPr>
                <w:b/>
                <w:color w:val="auto"/>
                <w:szCs w:val="24"/>
              </w:rPr>
              <w:t>564 825</w:t>
            </w:r>
          </w:p>
        </w:tc>
        <w:tc>
          <w:tcPr>
            <w:tcW w:w="1789" w:type="dxa"/>
            <w:shd w:val="clear" w:color="auto" w:fill="006600"/>
          </w:tcPr>
          <w:p w:rsidR="00F82EA1" w:rsidRPr="004E5226" w:rsidRDefault="00F82EA1" w:rsidP="002C707C">
            <w:pPr>
              <w:jc w:val="right"/>
              <w:rPr>
                <w:b/>
                <w:color w:val="auto"/>
                <w:szCs w:val="24"/>
              </w:rPr>
            </w:pPr>
            <w:r w:rsidRPr="009269C3">
              <w:rPr>
                <w:b/>
                <w:color w:val="auto"/>
                <w:szCs w:val="24"/>
              </w:rPr>
              <w:t>7,6</w:t>
            </w:r>
          </w:p>
        </w:tc>
      </w:tr>
      <w:tr w:rsidR="00F82EA1" w:rsidRPr="00E65A74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rPr>
                <w:rFonts w:cs="Arial"/>
                <w:color w:val="auto"/>
              </w:rPr>
            </w:pPr>
            <w:r>
              <w:t>РУМЪНИЯ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982 193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22 935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2,4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ГЪРЦИЯ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975 546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83 761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9,4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ГЕРМАНИЯ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839 634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40 317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5,0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РУСИЯ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542 376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-23 342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-4,1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ТУРЦИЯ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537 598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61 112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12,8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МАКЕДОНИЯ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464 101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19 642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4,4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ПОЛША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383 852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27 023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7,6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 xml:space="preserve">СЪРБИЯ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331 484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13 937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4,4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ВЕЛИКОБРИТАНИЯ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317 679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62 092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24,3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УКРАЙНА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285 697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38 019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15,4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МОЛДОВА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195 876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28 358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16,9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ИЗРАЕЛ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190 908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20 272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11,9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ЧЕХИЯ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186 794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-15 539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-7,7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ФРАНЦИЯ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184 902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29 707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19,1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 xml:space="preserve">ИТАЛИЯ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145 335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16 180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12,5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АВСТРИЯ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137 310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-15 966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-10,4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НИДЕРЛАНДИЯ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128 224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24 349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23,4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БЕЛГИЯ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116 540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31 079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36,4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19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УНГАРИЯ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92 067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2 355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2,6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БЕЛАРУС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80 651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-1 536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-1,9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САЩ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79 465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7 110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9,8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ИСПАНИЯ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71 007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20 448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40,4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СЛОВАКИЯ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69 559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2 971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4,5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ДАНИЯ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59 102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-5 705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-8,8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ШВЕЦИЯ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49 238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13 196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36,6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НОРВЕГИЯ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44 069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3 256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8,0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ФИНЛАНДИЯ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30 546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2 226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7,9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ЛИТВА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28 709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6 930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31,8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29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ИРЛАНДИЯ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28 678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4 503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18,6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АЛБАНИЯ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26 884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0,1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ИРАН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25 948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-871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-3,2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ШВЕЙЦАРИЯ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25 030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-4 155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-14,2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КИТАЙ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24 116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7 423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44,5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ЕСТОНИЯ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23 143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4 096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21,5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ХЪРВАТИЯ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20 947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5 574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36,3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  <w:tcBorders>
              <w:bottom w:val="single" w:sz="4" w:space="0" w:color="auto"/>
            </w:tcBorders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СЛОВЕНИЯ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19 036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1 054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5,9</w:t>
            </w:r>
          </w:p>
        </w:tc>
      </w:tr>
      <w:tr w:rsidR="00F82EA1" w:rsidRPr="00C15A76" w:rsidTr="00793291">
        <w:trPr>
          <w:trHeight w:val="17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146834"/>
              <w:right w:val="single" w:sz="4" w:space="0" w:color="auto"/>
            </w:tcBorders>
          </w:tcPr>
          <w:p w:rsidR="00F82EA1" w:rsidRPr="004E5226" w:rsidRDefault="00F82EA1" w:rsidP="009269C3">
            <w:pPr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КИПЪР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18 707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2 427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14,9</w:t>
            </w:r>
          </w:p>
        </w:tc>
      </w:tr>
      <w:tr w:rsidR="00F82EA1" w:rsidRPr="001F7C77" w:rsidTr="00793291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38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rPr>
                <w:rFonts w:cs="Arial"/>
                <w:color w:val="auto"/>
              </w:rPr>
            </w:pPr>
            <w:r>
              <w:t>ЛАТВИЯ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16 981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1 675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10,9</w:t>
            </w:r>
          </w:p>
        </w:tc>
      </w:tr>
      <w:tr w:rsidR="00F82EA1" w:rsidRPr="001F7C77" w:rsidTr="00793291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 xml:space="preserve">39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КАНАДА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16 575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1 242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8,1</w:t>
            </w:r>
          </w:p>
        </w:tc>
      </w:tr>
      <w:tr w:rsidR="00F82EA1" w:rsidRPr="001F7C77" w:rsidTr="00793291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lastRenderedPageBreak/>
              <w:t xml:space="preserve">40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БОСНА И ХЕРЦЕГОВИНА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16 180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3 498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27,6</w:t>
            </w:r>
          </w:p>
        </w:tc>
      </w:tr>
      <w:tr w:rsidR="00F82EA1" w:rsidRPr="001F7C77" w:rsidTr="00793291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ПОРТУГАЛИЯ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15 217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5 760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60,9</w:t>
            </w:r>
          </w:p>
        </w:tc>
      </w:tr>
      <w:tr w:rsidR="00F82EA1" w:rsidRPr="001F7C77" w:rsidTr="00793291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ЯПОНИЯ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12 811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815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6,8</w:t>
            </w:r>
          </w:p>
        </w:tc>
      </w:tr>
      <w:tr w:rsidR="00F82EA1" w:rsidRPr="001F7C77" w:rsidTr="00793291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АВСТРАЛИЯ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12 739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1 509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13,4</w:t>
            </w:r>
          </w:p>
        </w:tc>
      </w:tr>
      <w:tr w:rsidR="00F82EA1" w:rsidRPr="001F7C77" w:rsidTr="00793291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ГРУЗИЯ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12 214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2 769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29,3</w:t>
            </w:r>
          </w:p>
        </w:tc>
      </w:tr>
      <w:tr w:rsidR="00F82EA1" w:rsidRPr="001F7C77" w:rsidTr="00793291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РЕПУБЛИКА КОРЕЯ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11 599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1 440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14,2</w:t>
            </w:r>
          </w:p>
        </w:tc>
      </w:tr>
      <w:tr w:rsidR="00F82EA1" w:rsidRPr="001F7C77" w:rsidTr="00793291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ИНДИЯ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10 244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1 688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19,7</w:t>
            </w:r>
          </w:p>
        </w:tc>
      </w:tr>
      <w:tr w:rsidR="00F82EA1" w:rsidRPr="001F7C77" w:rsidTr="00793291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КАЗАХСТАН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9 977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996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11,1</w:t>
            </w:r>
          </w:p>
        </w:tc>
      </w:tr>
      <w:tr w:rsidR="00F82EA1" w:rsidRPr="001F7C77" w:rsidTr="00793291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ФИЛИПИНИТЕ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9 275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-781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-7,8</w:t>
            </w:r>
          </w:p>
        </w:tc>
      </w:tr>
      <w:tr w:rsidR="00F82EA1" w:rsidRPr="00E65A74" w:rsidTr="00793291">
        <w:trPr>
          <w:trHeight w:val="17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49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ЛЮКСЕМБУРГ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7 259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-517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-6,6</w:t>
            </w:r>
          </w:p>
        </w:tc>
      </w:tr>
      <w:tr w:rsidR="00F82EA1" w:rsidRPr="001F7C77" w:rsidTr="00793291">
        <w:trPr>
          <w:trHeight w:val="318"/>
        </w:trPr>
        <w:tc>
          <w:tcPr>
            <w:tcW w:w="875" w:type="dxa"/>
            <w:tcBorders>
              <w:top w:val="single" w:sz="4" w:space="0" w:color="146834"/>
              <w:left w:val="single" w:sz="4" w:space="0" w:color="146834"/>
              <w:bottom w:val="single" w:sz="4" w:space="0" w:color="146834"/>
              <w:right w:val="single" w:sz="4" w:space="0" w:color="146834"/>
            </w:tcBorders>
          </w:tcPr>
          <w:p w:rsidR="00F82EA1" w:rsidRPr="004E5226" w:rsidRDefault="00F82EA1" w:rsidP="009269C3">
            <w:pPr>
              <w:shd w:val="clear" w:color="auto" w:fill="FFFFFF"/>
              <w:rPr>
                <w:color w:val="auto"/>
                <w:szCs w:val="24"/>
              </w:rPr>
            </w:pPr>
            <w:r w:rsidRPr="004E5226">
              <w:rPr>
                <w:color w:val="auto"/>
                <w:szCs w:val="24"/>
              </w:rPr>
              <w:t>50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r>
              <w:t>МАЛАЙЗИЯ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5 707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3 484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EA1" w:rsidRDefault="00F82EA1" w:rsidP="009269C3">
            <w:pPr>
              <w:jc w:val="right"/>
            </w:pPr>
            <w:r>
              <w:t>156,7</w:t>
            </w:r>
          </w:p>
        </w:tc>
      </w:tr>
    </w:tbl>
    <w:p w:rsidR="00F82EA1" w:rsidRDefault="00F82EA1" w:rsidP="00E35903">
      <w:pPr>
        <w:pStyle w:val="Caption"/>
        <w:rPr>
          <w:color w:val="4F6228"/>
          <w:lang w:val="en-US"/>
        </w:rPr>
      </w:pPr>
    </w:p>
    <w:p w:rsidR="00F82EA1" w:rsidRPr="00272218" w:rsidRDefault="00F82EA1" w:rsidP="00E35903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3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>. Посещения на чуждестранни туристи, пазари топ 10 (брой)</w:t>
      </w:r>
    </w:p>
    <w:p w:rsidR="00F82EA1" w:rsidRPr="008030A3" w:rsidRDefault="00F82EA1" w:rsidP="00C8260E">
      <w:pPr>
        <w:rPr>
          <w:noProof/>
          <w:lang w:val="en-US" w:eastAsia="bg-BG"/>
        </w:rPr>
      </w:pPr>
      <w:r w:rsidRPr="0093776B">
        <w:rPr>
          <w:noProof/>
          <w:lang w:eastAsia="bg-BG"/>
        </w:rPr>
        <w:object w:dxaOrig="8673" w:dyaOrig="4810">
          <v:shape id="_x0000_i1027" type="#_x0000_t75" style="width:433.5pt;height:240.75pt" o:ole="">
            <v:imagedata r:id="rId11" o:title=""/>
            <o:lock v:ext="edit" aspectratio="f"/>
          </v:shape>
          <o:OLEObject Type="Embed" ProgID="Excel.Sheet.8" ShapeID="_x0000_i1027" DrawAspect="Content" ObjectID="_1573466403" r:id="rId12"/>
        </w:object>
      </w:r>
    </w:p>
    <w:p w:rsidR="00F82EA1" w:rsidRPr="00E525B1" w:rsidRDefault="00F82EA1" w:rsidP="008030A3">
      <w:pPr>
        <w:ind w:left="5664" w:firstLine="708"/>
        <w:jc w:val="center"/>
        <w:rPr>
          <w:rStyle w:val="Emphasis"/>
          <w:rFonts w:cs="Calibri"/>
          <w:lang w:val="en-US"/>
        </w:rPr>
      </w:pPr>
      <w:r w:rsidRPr="00E35903">
        <w:rPr>
          <w:rStyle w:val="Emphasis"/>
          <w:rFonts w:cs="Calibri"/>
        </w:rPr>
        <w:t>Източник: НСИ</w:t>
      </w:r>
    </w:p>
    <w:p w:rsidR="00F82EA1" w:rsidRDefault="00F82EA1" w:rsidP="00E35903">
      <w:pPr>
        <w:pStyle w:val="Header"/>
        <w:tabs>
          <w:tab w:val="clear" w:pos="4536"/>
          <w:tab w:val="clear" w:pos="9072"/>
        </w:tabs>
        <w:spacing w:after="240" w:line="264" w:lineRule="auto"/>
        <w:rPr>
          <w:noProof/>
          <w:lang w:eastAsia="bg-BG"/>
        </w:rPr>
      </w:pPr>
    </w:p>
    <w:p w:rsidR="00F82EA1" w:rsidRDefault="00F82EA1">
      <w:pPr>
        <w:spacing w:after="200" w:line="276" w:lineRule="auto"/>
      </w:pPr>
      <w:r>
        <w:br w:type="page"/>
      </w:r>
    </w:p>
    <w:p w:rsidR="00F82EA1" w:rsidRDefault="00F82EA1" w:rsidP="005744B3">
      <w:pPr>
        <w:pStyle w:val="Heading1"/>
      </w:pPr>
      <w:r>
        <w:t xml:space="preserve">Европейски съюз </w:t>
      </w:r>
    </w:p>
    <w:p w:rsidR="00F82EA1" w:rsidRPr="00D923C6" w:rsidRDefault="00F82EA1" w:rsidP="00BA12B6">
      <w:pPr>
        <w:rPr>
          <w:b/>
          <w:bCs/>
          <w:lang w:val="ru-RU"/>
        </w:rPr>
      </w:pPr>
      <w:r w:rsidRPr="00D923C6">
        <w:rPr>
          <w:b/>
          <w:bCs/>
        </w:rPr>
        <w:t>ЕВРОПЕЙСКИ СЪЮЗ</w:t>
      </w:r>
    </w:p>
    <w:p w:rsidR="00F82EA1" w:rsidRPr="004E5226" w:rsidRDefault="00F82EA1" w:rsidP="00351C53">
      <w:pPr>
        <w:ind w:firstLine="708"/>
        <w:jc w:val="both"/>
        <w:rPr>
          <w:b/>
          <w:color w:val="auto"/>
        </w:rPr>
      </w:pPr>
      <w:r w:rsidRPr="004E5226">
        <w:rPr>
          <w:color w:val="auto"/>
        </w:rPr>
        <w:t xml:space="preserve">През периода </w:t>
      </w:r>
      <w:r w:rsidRPr="004E5226">
        <w:rPr>
          <w:b/>
          <w:iCs/>
          <w:color w:val="auto"/>
          <w:lang w:val="ru-RU"/>
        </w:rPr>
        <w:t>януари</w:t>
      </w:r>
      <w:r>
        <w:rPr>
          <w:b/>
          <w:iCs/>
          <w:color w:val="auto"/>
          <w:lang w:val="ru-RU"/>
        </w:rPr>
        <w:t xml:space="preserve"> </w:t>
      </w:r>
      <w:r w:rsidRPr="004E5226">
        <w:rPr>
          <w:b/>
          <w:iCs/>
          <w:color w:val="auto"/>
          <w:lang w:val="ru-RU"/>
        </w:rPr>
        <w:t>–</w:t>
      </w:r>
      <w:r>
        <w:rPr>
          <w:b/>
          <w:iCs/>
          <w:color w:val="auto"/>
          <w:lang w:val="ru-RU"/>
        </w:rPr>
        <w:t xml:space="preserve"> </w:t>
      </w:r>
      <w:r>
        <w:rPr>
          <w:b/>
          <w:color w:val="auto"/>
        </w:rPr>
        <w:t>октомври</w:t>
      </w:r>
      <w:r w:rsidRPr="004E5226">
        <w:rPr>
          <w:b/>
          <w:color w:val="auto"/>
        </w:rPr>
        <w:t xml:space="preserve"> 2017 г.</w:t>
      </w:r>
      <w:r w:rsidRPr="004E5226">
        <w:rPr>
          <w:color w:val="auto"/>
        </w:rPr>
        <w:t xml:space="preserve"> страните от Европейския съюз продължават да са най-важния генериращ пазар за международен туризъм на България с </w:t>
      </w:r>
      <w:r w:rsidRPr="004E5226">
        <w:rPr>
          <w:b/>
          <w:color w:val="auto"/>
        </w:rPr>
        <w:t>относителен дял</w:t>
      </w:r>
      <w:r>
        <w:rPr>
          <w:b/>
          <w:color w:val="auto"/>
        </w:rPr>
        <w:t xml:space="preserve"> </w:t>
      </w:r>
      <w:r w:rsidR="008E09D4" w:rsidRPr="008E09D4">
        <w:rPr>
          <w:b/>
          <w:color w:val="auto"/>
        </w:rPr>
        <w:t>61,7</w:t>
      </w:r>
      <w:r w:rsidRPr="004E5226">
        <w:rPr>
          <w:b/>
          <w:color w:val="auto"/>
        </w:rPr>
        <w:t>%</w:t>
      </w:r>
      <w:r w:rsidRPr="004E5226">
        <w:rPr>
          <w:color w:val="auto"/>
          <w:lang w:val="ru-RU"/>
        </w:rPr>
        <w:t xml:space="preserve"> </w:t>
      </w:r>
      <w:r w:rsidRPr="004E5226">
        <w:rPr>
          <w:b/>
          <w:color w:val="auto"/>
          <w:lang w:val="ru-RU"/>
        </w:rPr>
        <w:t>и</w:t>
      </w:r>
      <w:r w:rsidRPr="004E5226">
        <w:rPr>
          <w:b/>
          <w:color w:val="auto"/>
        </w:rPr>
        <w:t xml:space="preserve"> общ обем</w:t>
      </w:r>
      <w:r w:rsidRPr="004E5226">
        <w:rPr>
          <w:color w:val="auto"/>
        </w:rPr>
        <w:t xml:space="preserve"> </w:t>
      </w:r>
      <w:r w:rsidRPr="004E5226">
        <w:rPr>
          <w:b/>
          <w:color w:val="auto"/>
        </w:rPr>
        <w:t>от</w:t>
      </w:r>
      <w:r w:rsidRPr="004E5226">
        <w:rPr>
          <w:b/>
          <w:color w:val="auto"/>
          <w:lang w:val="ru-RU"/>
        </w:rPr>
        <w:t xml:space="preserve"> </w:t>
      </w:r>
      <w:r w:rsidRPr="00F86578">
        <w:rPr>
          <w:b/>
          <w:color w:val="auto"/>
        </w:rPr>
        <w:t>4</w:t>
      </w:r>
      <w:r w:rsidR="002C1627">
        <w:rPr>
          <w:b/>
          <w:color w:val="auto"/>
        </w:rPr>
        <w:t xml:space="preserve"> </w:t>
      </w:r>
      <w:r w:rsidRPr="00F86578">
        <w:rPr>
          <w:b/>
          <w:color w:val="auto"/>
        </w:rPr>
        <w:t>951</w:t>
      </w:r>
      <w:r w:rsidR="002C1627">
        <w:rPr>
          <w:b/>
          <w:color w:val="auto"/>
        </w:rPr>
        <w:t xml:space="preserve"> </w:t>
      </w:r>
      <w:r w:rsidRPr="00F86578">
        <w:rPr>
          <w:b/>
          <w:color w:val="auto"/>
        </w:rPr>
        <w:t>398</w:t>
      </w:r>
      <w:r w:rsidRPr="00C80DAE">
        <w:rPr>
          <w:b/>
          <w:color w:val="auto"/>
          <w:lang w:val="ru-RU"/>
        </w:rPr>
        <w:t xml:space="preserve"> </w:t>
      </w:r>
      <w:r>
        <w:rPr>
          <w:b/>
          <w:color w:val="auto"/>
        </w:rPr>
        <w:t>т</w:t>
      </w:r>
      <w:r w:rsidRPr="004E5226">
        <w:rPr>
          <w:b/>
          <w:color w:val="auto"/>
        </w:rPr>
        <w:t>уристически посещения</w:t>
      </w:r>
      <w:r w:rsidRPr="004E5226">
        <w:rPr>
          <w:color w:val="auto"/>
        </w:rPr>
        <w:t xml:space="preserve"> </w:t>
      </w:r>
      <w:r w:rsidRPr="004E5226">
        <w:rPr>
          <w:b/>
          <w:color w:val="auto"/>
          <w:lang w:val="ru-RU"/>
        </w:rPr>
        <w:t>(ръст от</w:t>
      </w:r>
      <w:r>
        <w:rPr>
          <w:b/>
          <w:color w:val="auto"/>
          <w:lang w:val="ru-RU"/>
        </w:rPr>
        <w:t xml:space="preserve"> </w:t>
      </w:r>
      <w:r w:rsidRPr="00F86578">
        <w:rPr>
          <w:b/>
          <w:color w:val="auto"/>
          <w:lang w:val="ru-RU"/>
        </w:rPr>
        <w:t>8,1</w:t>
      </w:r>
      <w:r w:rsidRPr="004E5226">
        <w:rPr>
          <w:b/>
          <w:color w:val="auto"/>
        </w:rPr>
        <w:t>%</w:t>
      </w:r>
      <w:r w:rsidRPr="004E5226">
        <w:rPr>
          <w:b/>
          <w:color w:val="auto"/>
          <w:lang w:val="ru-RU"/>
        </w:rPr>
        <w:t>)</w:t>
      </w:r>
      <w:r w:rsidRPr="004E5226">
        <w:rPr>
          <w:b/>
          <w:color w:val="auto"/>
        </w:rPr>
        <w:t>.</w:t>
      </w:r>
    </w:p>
    <w:p w:rsidR="00F82EA1" w:rsidRPr="00272218" w:rsidRDefault="00F82EA1" w:rsidP="00ED6549">
      <w:pPr>
        <w:pStyle w:val="Caption"/>
        <w:rPr>
          <w:color w:val="4F6228"/>
        </w:rPr>
      </w:pPr>
      <w:r w:rsidRPr="00272218">
        <w:rPr>
          <w:color w:val="4F6228"/>
        </w:rPr>
        <w:t xml:space="preserve">Таблица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Таблица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2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 xml:space="preserve">. Посещения на чуждестранни туристи в България, януари </w:t>
      </w:r>
      <w:r>
        <w:rPr>
          <w:color w:val="4F6228"/>
        </w:rPr>
        <w:t xml:space="preserve">– октомври </w:t>
      </w:r>
      <w:r w:rsidRPr="00272218">
        <w:rPr>
          <w:color w:val="4F6228"/>
        </w:rPr>
        <w:t xml:space="preserve">2017 г. / януари </w:t>
      </w:r>
      <w:r>
        <w:rPr>
          <w:color w:val="4F6228"/>
        </w:rPr>
        <w:t xml:space="preserve">–октомври  </w:t>
      </w:r>
      <w:r w:rsidRPr="00272218">
        <w:rPr>
          <w:color w:val="4F6228"/>
        </w:rPr>
        <w:t xml:space="preserve"> 2016 г.</w:t>
      </w: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77"/>
        <w:gridCol w:w="2245"/>
        <w:gridCol w:w="1856"/>
        <w:gridCol w:w="2188"/>
        <w:gridCol w:w="2188"/>
      </w:tblGrid>
      <w:tr w:rsidR="00F82EA1" w:rsidRPr="008A5451" w:rsidTr="00BC5212">
        <w:trPr>
          <w:trHeight w:val="20"/>
          <w:tblHeader/>
        </w:trPr>
        <w:tc>
          <w:tcPr>
            <w:tcW w:w="477" w:type="dxa"/>
            <w:shd w:val="clear" w:color="auto" w:fill="D9D9D9"/>
            <w:vAlign w:val="center"/>
          </w:tcPr>
          <w:p w:rsidR="00F82EA1" w:rsidRPr="00AB33F1" w:rsidRDefault="00F82EA1" w:rsidP="005E3F80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2245" w:type="dxa"/>
            <w:shd w:val="clear" w:color="auto" w:fill="D9D9D9"/>
            <w:vAlign w:val="center"/>
          </w:tcPr>
          <w:p w:rsidR="00F82EA1" w:rsidRPr="00AB33F1" w:rsidRDefault="00F82EA1" w:rsidP="005E3F80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856" w:type="dxa"/>
            <w:shd w:val="clear" w:color="auto" w:fill="D9D9D9"/>
            <w:vAlign w:val="center"/>
          </w:tcPr>
          <w:p w:rsidR="00F82EA1" w:rsidRPr="00AB33F1" w:rsidRDefault="00F82EA1" w:rsidP="005E3F80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2188" w:type="dxa"/>
            <w:shd w:val="clear" w:color="auto" w:fill="D9D9D9"/>
            <w:vAlign w:val="center"/>
          </w:tcPr>
          <w:p w:rsidR="00F82EA1" w:rsidRPr="00AB33F1" w:rsidRDefault="00F82EA1" w:rsidP="005E3F80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F82EA1" w:rsidRPr="00AB33F1" w:rsidRDefault="00F82EA1" w:rsidP="005E3F80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2188" w:type="dxa"/>
            <w:shd w:val="clear" w:color="auto" w:fill="D9D9D9"/>
            <w:vAlign w:val="center"/>
          </w:tcPr>
          <w:p w:rsidR="00F82EA1" w:rsidRPr="00AB33F1" w:rsidRDefault="00F82EA1" w:rsidP="005E3F80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F82EA1" w:rsidRPr="00AB33F1" w:rsidRDefault="00F82EA1" w:rsidP="005E3F80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F82EA1" w:rsidRPr="00E448F7" w:rsidTr="00E448F7">
        <w:trPr>
          <w:trHeight w:val="20"/>
        </w:trPr>
        <w:tc>
          <w:tcPr>
            <w:tcW w:w="2722" w:type="dxa"/>
            <w:gridSpan w:val="2"/>
            <w:shd w:val="clear" w:color="auto" w:fill="006600"/>
          </w:tcPr>
          <w:p w:rsidR="00F82EA1" w:rsidRPr="00F86578" w:rsidRDefault="00F82EA1" w:rsidP="00C80DAE">
            <w:pPr>
              <w:tabs>
                <w:tab w:val="right" w:pos="2506"/>
              </w:tabs>
              <w:rPr>
                <w:b/>
                <w:color w:val="auto"/>
                <w:szCs w:val="24"/>
              </w:rPr>
            </w:pPr>
            <w:r w:rsidRPr="00F86578">
              <w:rPr>
                <w:b/>
                <w:color w:val="auto"/>
                <w:szCs w:val="24"/>
              </w:rPr>
              <w:t>Общо</w:t>
            </w:r>
            <w:r>
              <w:rPr>
                <w:b/>
                <w:color w:val="auto"/>
                <w:szCs w:val="24"/>
              </w:rPr>
              <w:tab/>
            </w:r>
          </w:p>
        </w:tc>
        <w:tc>
          <w:tcPr>
            <w:tcW w:w="1856" w:type="dxa"/>
            <w:shd w:val="clear" w:color="auto" w:fill="006600"/>
            <w:vAlign w:val="bottom"/>
          </w:tcPr>
          <w:p w:rsidR="00F82EA1" w:rsidRPr="00E448F7" w:rsidRDefault="00F82EA1" w:rsidP="00793291">
            <w:pPr>
              <w:jc w:val="right"/>
              <w:rPr>
                <w:b/>
                <w:color w:val="FFFFFF" w:themeColor="background1"/>
              </w:rPr>
            </w:pPr>
            <w:r w:rsidRPr="00E448F7">
              <w:rPr>
                <w:b/>
                <w:color w:val="FFFFFF" w:themeColor="background1"/>
                <w:sz w:val="22"/>
              </w:rPr>
              <w:t>4 951 398</w:t>
            </w:r>
          </w:p>
        </w:tc>
        <w:tc>
          <w:tcPr>
            <w:tcW w:w="2188" w:type="dxa"/>
            <w:shd w:val="clear" w:color="auto" w:fill="006600"/>
            <w:vAlign w:val="bottom"/>
          </w:tcPr>
          <w:p w:rsidR="00F82EA1" w:rsidRPr="00E448F7" w:rsidRDefault="00F82EA1" w:rsidP="00793291">
            <w:pPr>
              <w:jc w:val="right"/>
              <w:rPr>
                <w:b/>
                <w:color w:val="FFFFFF" w:themeColor="background1"/>
              </w:rPr>
            </w:pPr>
            <w:r w:rsidRPr="00E448F7">
              <w:rPr>
                <w:b/>
                <w:color w:val="FFFFFF" w:themeColor="background1"/>
                <w:sz w:val="22"/>
              </w:rPr>
              <w:t>372 145</w:t>
            </w:r>
          </w:p>
        </w:tc>
        <w:tc>
          <w:tcPr>
            <w:tcW w:w="2188" w:type="dxa"/>
            <w:shd w:val="clear" w:color="auto" w:fill="006600"/>
            <w:vAlign w:val="bottom"/>
          </w:tcPr>
          <w:p w:rsidR="00F82EA1" w:rsidRPr="00E448F7" w:rsidRDefault="00F82EA1" w:rsidP="00793291">
            <w:pPr>
              <w:jc w:val="right"/>
              <w:rPr>
                <w:b/>
                <w:color w:val="FFFFFF" w:themeColor="background1"/>
              </w:rPr>
            </w:pPr>
            <w:r w:rsidRPr="00E448F7">
              <w:rPr>
                <w:b/>
                <w:color w:val="FFFFFF" w:themeColor="background1"/>
                <w:sz w:val="22"/>
              </w:rPr>
              <w:t>8,1</w:t>
            </w:r>
          </w:p>
        </w:tc>
      </w:tr>
      <w:tr w:rsidR="00F82EA1" w:rsidRPr="004E5226" w:rsidTr="00F86578">
        <w:trPr>
          <w:trHeight w:val="148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1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РУМЪНИЯ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982 193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22 935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2,4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2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ГЪРЦИЯ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975 546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83 761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9,4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3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ГЕРМАНИЯ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839 634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40 317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5,0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4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ПОЛША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383 852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27 023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7,6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5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ВЕЛИКОБРИТАНИЯ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317 679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62 092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24,3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6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ЧЕХИЯ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186 794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-15 539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-7,7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7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ФРАНЦИЯ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184 902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29 707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19,1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8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 xml:space="preserve">ИТАЛИЯ 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145 335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16 180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12,5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9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АВСТРИЯ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137 310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-15 966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-10,4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10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НИДЕРЛАНДИЯ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128 224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24 349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23,4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11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БЕЛГИЯ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116 540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31 079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36,4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12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УНГАРИЯ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92 067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2 355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2,6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13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ИСПАНИЯ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71 007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20 448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40,4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14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СЛОВАКИЯ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69 559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2 971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4,5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15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ДАНИЯ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59 102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-5 705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-8,8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16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ШВЕЦИЯ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49 238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13 196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36,6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17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ФИНЛАНДИЯ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30 546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2 226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7,9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18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ЛИТВА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28 709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6 930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31,8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19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ИРЛАНДИЯ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28 678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4 503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18,6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20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ЕСТОНИЯ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23 143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4 096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21,5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21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ХЪРВАТИЯ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20 947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5 574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36,3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22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СЛОВЕНИЯ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19 036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1 054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5,9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23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КИПЪР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18 707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2 427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14,9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24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ЛАТВИЯ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16 981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1 675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10,9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25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ПОРТУГАЛИЯ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15 217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5 760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60,9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26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ЛЮКСЕМБУРГ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7 259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-517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-6,6</w:t>
            </w:r>
          </w:p>
        </w:tc>
      </w:tr>
      <w:tr w:rsidR="00F82EA1" w:rsidRPr="004E5226" w:rsidTr="00F86578">
        <w:trPr>
          <w:trHeight w:val="20"/>
        </w:trPr>
        <w:tc>
          <w:tcPr>
            <w:tcW w:w="477" w:type="dxa"/>
          </w:tcPr>
          <w:p w:rsidR="00F82EA1" w:rsidRPr="004E5226" w:rsidRDefault="00F82EA1" w:rsidP="00793291">
            <w:pPr>
              <w:rPr>
                <w:color w:val="auto"/>
              </w:rPr>
            </w:pPr>
            <w:r w:rsidRPr="004E5226">
              <w:rPr>
                <w:color w:val="auto"/>
              </w:rPr>
              <w:t>27</w:t>
            </w:r>
          </w:p>
        </w:tc>
        <w:tc>
          <w:tcPr>
            <w:tcW w:w="2245" w:type="dxa"/>
            <w:vAlign w:val="bottom"/>
          </w:tcPr>
          <w:p w:rsidR="00F82EA1" w:rsidRDefault="00F82EA1" w:rsidP="00793291">
            <w:r>
              <w:rPr>
                <w:sz w:val="22"/>
              </w:rPr>
              <w:t>МАЛТА</w:t>
            </w:r>
          </w:p>
        </w:tc>
        <w:tc>
          <w:tcPr>
            <w:tcW w:w="1856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3 193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-786</w:t>
            </w:r>
          </w:p>
        </w:tc>
        <w:tc>
          <w:tcPr>
            <w:tcW w:w="2188" w:type="dxa"/>
            <w:vAlign w:val="bottom"/>
          </w:tcPr>
          <w:p w:rsidR="00F82EA1" w:rsidRDefault="00F82EA1" w:rsidP="00793291">
            <w:pPr>
              <w:jc w:val="right"/>
            </w:pPr>
            <w:r>
              <w:rPr>
                <w:sz w:val="22"/>
              </w:rPr>
              <w:t>-19,8</w:t>
            </w:r>
          </w:p>
        </w:tc>
      </w:tr>
    </w:tbl>
    <w:p w:rsidR="00F82EA1" w:rsidRPr="00717C17" w:rsidRDefault="00F82EA1" w:rsidP="00717C17">
      <w:pPr>
        <w:jc w:val="right"/>
        <w:rPr>
          <w:i/>
          <w:iCs/>
          <w:sz w:val="20"/>
        </w:rPr>
      </w:pPr>
      <w:r w:rsidRPr="000A3C94">
        <w:rPr>
          <w:rStyle w:val="Emphasis"/>
          <w:rFonts w:cs="Calibri"/>
        </w:rPr>
        <w:t xml:space="preserve"> Източник: НСИ</w:t>
      </w:r>
      <w:r>
        <w:br w:type="page"/>
      </w:r>
    </w:p>
    <w:p w:rsidR="00F82EA1" w:rsidRDefault="00F82EA1" w:rsidP="005F48BD">
      <w:pPr>
        <w:pStyle w:val="Heading1"/>
      </w:pPr>
      <w:r>
        <w:t xml:space="preserve">Приходи от туризъм – България </w:t>
      </w:r>
    </w:p>
    <w:p w:rsidR="00F82EA1" w:rsidRPr="00662155" w:rsidRDefault="00F82EA1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F82EA1" w:rsidRPr="00C80DAE" w:rsidRDefault="00F82EA1" w:rsidP="00351C53">
      <w:pPr>
        <w:spacing w:after="160" w:line="256" w:lineRule="auto"/>
        <w:jc w:val="both"/>
        <w:rPr>
          <w:rFonts w:cs="Arial"/>
          <w:color w:val="auto"/>
          <w:sz w:val="22"/>
        </w:rPr>
      </w:pPr>
      <w:r w:rsidRPr="00C80DAE">
        <w:rPr>
          <w:rFonts w:cs="Arial"/>
          <w:color w:val="auto"/>
          <w:sz w:val="22"/>
        </w:rPr>
        <w:t>Приходите от международен туризъм и пътувания за периода януари</w:t>
      </w:r>
      <w:r>
        <w:rPr>
          <w:rFonts w:cs="Arial"/>
          <w:color w:val="auto"/>
          <w:sz w:val="22"/>
        </w:rPr>
        <w:t xml:space="preserve"> </w:t>
      </w:r>
      <w:r w:rsidR="00351C53">
        <w:rPr>
          <w:rFonts w:cs="Arial"/>
          <w:color w:val="auto"/>
          <w:sz w:val="22"/>
        </w:rPr>
        <w:t>–</w:t>
      </w:r>
      <w:r>
        <w:rPr>
          <w:rFonts w:cs="Arial"/>
          <w:color w:val="auto"/>
          <w:sz w:val="22"/>
        </w:rPr>
        <w:t xml:space="preserve"> </w:t>
      </w:r>
      <w:r w:rsidRPr="00C80DAE">
        <w:rPr>
          <w:rFonts w:cs="Arial"/>
          <w:color w:val="auto"/>
          <w:sz w:val="22"/>
        </w:rPr>
        <w:t>септември 2017 г. възлизат на близо 6 млрд. лв. Ръстът спрямо периода януари</w:t>
      </w:r>
      <w:r>
        <w:rPr>
          <w:rFonts w:cs="Arial"/>
          <w:color w:val="auto"/>
          <w:sz w:val="22"/>
        </w:rPr>
        <w:t xml:space="preserve"> </w:t>
      </w:r>
      <w:r w:rsidRPr="00C80DAE">
        <w:rPr>
          <w:rFonts w:cs="Arial"/>
          <w:color w:val="auto"/>
          <w:sz w:val="22"/>
        </w:rPr>
        <w:t>– септември 2016 г. е 9,4%.</w:t>
      </w:r>
    </w:p>
    <w:p w:rsidR="00F82EA1" w:rsidRPr="00700111" w:rsidRDefault="00F82EA1" w:rsidP="00662155"/>
    <w:p w:rsidR="00F82EA1" w:rsidRPr="004E5226" w:rsidRDefault="00F82EA1" w:rsidP="00662155">
      <w:pPr>
        <w:rPr>
          <w:color w:val="008000"/>
        </w:rPr>
      </w:pPr>
      <w:r w:rsidRPr="00561C2C">
        <w:rPr>
          <w:color w:val="146834"/>
        </w:rPr>
        <w:t xml:space="preserve">3.2 Данни за </w:t>
      </w:r>
      <w:r w:rsidRPr="004E5226">
        <w:rPr>
          <w:color w:val="008000"/>
        </w:rPr>
        <w:t xml:space="preserve">изминалата година </w:t>
      </w:r>
    </w:p>
    <w:p w:rsidR="00F82EA1" w:rsidRPr="00457339" w:rsidRDefault="00F82EA1" w:rsidP="005F48BD">
      <w:pPr>
        <w:rPr>
          <w:color w:val="auto"/>
        </w:rPr>
      </w:pPr>
      <w:r w:rsidRPr="00457339">
        <w:rPr>
          <w:color w:val="auto"/>
          <w:lang w:val="ru-RU"/>
        </w:rPr>
        <w:t xml:space="preserve">Приходите от международен туризъм в текущата сметка на платежния баланс по данни на БНБ през 2016 г. възлизат на </w:t>
      </w:r>
      <w:r w:rsidRPr="00457339">
        <w:rPr>
          <w:b/>
          <w:color w:val="auto"/>
          <w:lang w:val="ru-RU"/>
        </w:rPr>
        <w:t>3 283,7 млн. евро</w:t>
      </w:r>
      <w:r w:rsidRPr="00457339">
        <w:rPr>
          <w:color w:val="auto"/>
          <w:lang w:val="ru-RU"/>
        </w:rPr>
        <w:t xml:space="preserve">, което е </w:t>
      </w:r>
      <w:r w:rsidRPr="00DC46C4">
        <w:rPr>
          <w:b/>
          <w:color w:val="auto"/>
          <w:lang w:val="ru-RU"/>
        </w:rPr>
        <w:t xml:space="preserve">с </w:t>
      </w:r>
      <w:r w:rsidRPr="00457339">
        <w:rPr>
          <w:b/>
          <w:color w:val="auto"/>
          <w:lang w:val="ru-RU"/>
        </w:rPr>
        <w:t>15,7% повече</w:t>
      </w:r>
      <w:r w:rsidRPr="00457339">
        <w:rPr>
          <w:color w:val="auto"/>
          <w:lang w:val="ru-RU"/>
        </w:rPr>
        <w:t xml:space="preserve"> в сравнение с 2015 г. </w:t>
      </w:r>
    </w:p>
    <w:p w:rsidR="00F82EA1" w:rsidRPr="00272218" w:rsidRDefault="00F82EA1" w:rsidP="00E67058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4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>. Приходи от международен туризъм (млн.</w:t>
      </w:r>
      <w:r>
        <w:rPr>
          <w:color w:val="4F6228"/>
        </w:rPr>
        <w:t xml:space="preserve"> </w:t>
      </w:r>
      <w:r w:rsidRPr="00272218">
        <w:rPr>
          <w:color w:val="4F6228"/>
        </w:rPr>
        <w:t xml:space="preserve">лв.) – годишни данни </w:t>
      </w:r>
    </w:p>
    <w:p w:rsidR="00F82EA1" w:rsidRDefault="00F82EA1" w:rsidP="00C8260E">
      <w:pPr>
        <w:rPr>
          <w:noProof/>
          <w:lang w:eastAsia="bg-BG"/>
        </w:rPr>
      </w:pPr>
      <w:r w:rsidRPr="0093776B">
        <w:rPr>
          <w:noProof/>
          <w:lang w:eastAsia="bg-BG"/>
        </w:rPr>
        <w:object w:dxaOrig="9150" w:dyaOrig="4282">
          <v:shape id="Chart 10" o:spid="_x0000_i1028" type="#_x0000_t75" style="width:457.5pt;height:214.5pt;visibility:visible" o:ole="">
            <v:imagedata r:id="rId13" o:title="" cropbottom="-46f"/>
            <o:lock v:ext="edit" aspectratio="f"/>
          </v:shape>
          <o:OLEObject Type="Embed" ProgID="Excel.Sheet.8" ShapeID="Chart 10" DrawAspect="Content" ObjectID="_1573466404" r:id="rId14"/>
        </w:object>
      </w:r>
    </w:p>
    <w:p w:rsidR="00F82EA1" w:rsidRDefault="00F82EA1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F82EA1" w:rsidRDefault="00F82EA1" w:rsidP="00C8260E">
      <w:pPr>
        <w:jc w:val="right"/>
        <w:rPr>
          <w:rStyle w:val="Emphasis"/>
          <w:rFonts w:cs="Calibri"/>
        </w:rPr>
      </w:pPr>
    </w:p>
    <w:p w:rsidR="00F82EA1" w:rsidRDefault="00F82EA1" w:rsidP="00C8260E">
      <w:pPr>
        <w:jc w:val="right"/>
        <w:rPr>
          <w:rStyle w:val="Emphasis"/>
          <w:rFonts w:cs="Calibri"/>
        </w:rPr>
      </w:pPr>
    </w:p>
    <w:p w:rsidR="00F82EA1" w:rsidRDefault="00F82EA1" w:rsidP="00C8260E">
      <w:pPr>
        <w:jc w:val="right"/>
        <w:rPr>
          <w:rStyle w:val="Emphasis"/>
          <w:rFonts w:cs="Calibri"/>
        </w:rPr>
      </w:pPr>
    </w:p>
    <w:p w:rsidR="00F82EA1" w:rsidRDefault="00F82EA1" w:rsidP="00C8260E">
      <w:pPr>
        <w:jc w:val="right"/>
        <w:rPr>
          <w:rStyle w:val="Emphasis"/>
          <w:rFonts w:cs="Calibri"/>
        </w:rPr>
      </w:pPr>
    </w:p>
    <w:p w:rsidR="00F82EA1" w:rsidRPr="00E65DB9" w:rsidRDefault="00F82EA1" w:rsidP="004E05CF">
      <w:pPr>
        <w:pStyle w:val="Heading1"/>
        <w:rPr>
          <w:lang w:val="ru-RU"/>
        </w:rPr>
      </w:pPr>
      <w:r w:rsidRPr="00E65DB9">
        <w:rPr>
          <w:lang w:val="ru-RU"/>
        </w:rPr>
        <w:t xml:space="preserve">Пътувания на български граждани в чужбина </w:t>
      </w:r>
    </w:p>
    <w:p w:rsidR="00F82EA1" w:rsidRPr="00DC46C4" w:rsidRDefault="00F82EA1" w:rsidP="00DC46C4">
      <w:pPr>
        <w:jc w:val="both"/>
        <w:rPr>
          <w:color w:val="auto"/>
          <w:szCs w:val="24"/>
        </w:rPr>
      </w:pPr>
      <w:r w:rsidRPr="00DC46C4">
        <w:rPr>
          <w:color w:val="auto"/>
          <w:szCs w:val="24"/>
        </w:rPr>
        <w:t>През периода</w:t>
      </w:r>
      <w:r>
        <w:rPr>
          <w:color w:val="auto"/>
          <w:szCs w:val="24"/>
        </w:rPr>
        <w:t xml:space="preserve"> </w:t>
      </w:r>
      <w:r w:rsidRPr="00DC46C4">
        <w:rPr>
          <w:color w:val="auto"/>
          <w:szCs w:val="24"/>
        </w:rPr>
        <w:t xml:space="preserve"> </w:t>
      </w:r>
      <w:r w:rsidRPr="00DC46C4">
        <w:rPr>
          <w:b/>
          <w:iCs/>
          <w:color w:val="auto"/>
          <w:szCs w:val="24"/>
          <w:lang w:val="ru-RU"/>
        </w:rPr>
        <w:t>януари –</w:t>
      </w:r>
      <w:r w:rsidRPr="00DC46C4">
        <w:rPr>
          <w:iCs/>
          <w:color w:val="auto"/>
          <w:szCs w:val="24"/>
          <w:lang w:val="ru-RU"/>
        </w:rPr>
        <w:t xml:space="preserve"> </w:t>
      </w:r>
      <w:r w:rsidRPr="00DC46C4">
        <w:rPr>
          <w:b/>
          <w:color w:val="auto"/>
          <w:szCs w:val="24"/>
        </w:rPr>
        <w:t>октомври</w:t>
      </w:r>
      <w:r>
        <w:rPr>
          <w:b/>
          <w:color w:val="auto"/>
          <w:szCs w:val="24"/>
        </w:rPr>
        <w:t xml:space="preserve"> </w:t>
      </w:r>
      <w:r w:rsidRPr="00DC46C4">
        <w:rPr>
          <w:b/>
          <w:color w:val="auto"/>
          <w:szCs w:val="24"/>
        </w:rPr>
        <w:t xml:space="preserve"> 2017 г</w:t>
      </w:r>
      <w:r w:rsidRPr="00DC46C4">
        <w:rPr>
          <w:color w:val="auto"/>
          <w:szCs w:val="24"/>
        </w:rPr>
        <w:t>.</w:t>
      </w:r>
      <w:r w:rsidRPr="00DC46C4">
        <w:rPr>
          <w:color w:val="auto"/>
          <w:szCs w:val="24"/>
          <w:lang w:val="ru-RU"/>
        </w:rPr>
        <w:t xml:space="preserve"> </w:t>
      </w:r>
      <w:r>
        <w:rPr>
          <w:color w:val="auto"/>
          <w:szCs w:val="24"/>
          <w:lang w:val="ru-RU"/>
        </w:rPr>
        <w:t xml:space="preserve"> </w:t>
      </w:r>
      <w:r w:rsidRPr="00DC46C4">
        <w:rPr>
          <w:color w:val="auto"/>
          <w:szCs w:val="24"/>
        </w:rPr>
        <w:t>българските граждани са</w:t>
      </w:r>
      <w:r w:rsidRPr="00DC46C4">
        <w:rPr>
          <w:color w:val="auto"/>
          <w:szCs w:val="24"/>
          <w:lang w:val="ru-RU"/>
        </w:rPr>
        <w:t xml:space="preserve"> </w:t>
      </w:r>
      <w:r w:rsidRPr="00DC46C4">
        <w:rPr>
          <w:color w:val="auto"/>
          <w:szCs w:val="24"/>
        </w:rPr>
        <w:t>реализирали общо</w:t>
      </w:r>
    </w:p>
    <w:p w:rsidR="00F82EA1" w:rsidRPr="00DC46C4" w:rsidRDefault="00F82EA1" w:rsidP="00DC46C4">
      <w:pPr>
        <w:jc w:val="both"/>
        <w:rPr>
          <w:rFonts w:ascii="Times New Roman" w:hAnsi="Times New Roman" w:cs="Times New Roman"/>
          <w:b/>
          <w:bCs/>
          <w:color w:val="auto"/>
          <w:szCs w:val="24"/>
          <w:lang w:eastAsia="bg-BG"/>
        </w:rPr>
      </w:pPr>
      <w:r w:rsidRPr="00DC46C4">
        <w:rPr>
          <w:color w:val="auto"/>
          <w:szCs w:val="24"/>
        </w:rPr>
        <w:t xml:space="preserve"> </w:t>
      </w:r>
      <w:r w:rsidR="000C6189">
        <w:rPr>
          <w:b/>
          <w:color w:val="auto"/>
          <w:szCs w:val="24"/>
        </w:rPr>
        <w:t xml:space="preserve">5 350 </w:t>
      </w:r>
      <w:r w:rsidRPr="00DC46C4">
        <w:rPr>
          <w:b/>
          <w:color w:val="auto"/>
          <w:szCs w:val="24"/>
        </w:rPr>
        <w:t xml:space="preserve">799 пътувания </w:t>
      </w:r>
      <w:r w:rsidRPr="00DC46C4">
        <w:rPr>
          <w:color w:val="auto"/>
          <w:szCs w:val="24"/>
        </w:rPr>
        <w:t xml:space="preserve">в чужбина по всички видове цели. </w:t>
      </w:r>
      <w:r w:rsidRPr="00DC46C4">
        <w:rPr>
          <w:b/>
          <w:color w:val="auto"/>
          <w:szCs w:val="24"/>
        </w:rPr>
        <w:t>Увеличението</w:t>
      </w:r>
      <w:r w:rsidRPr="00DC46C4">
        <w:rPr>
          <w:color w:val="auto"/>
          <w:szCs w:val="24"/>
        </w:rPr>
        <w:t xml:space="preserve"> спрямо периода </w:t>
      </w:r>
      <w:r w:rsidRPr="00DC46C4">
        <w:rPr>
          <w:iCs/>
          <w:color w:val="auto"/>
          <w:szCs w:val="24"/>
          <w:lang w:val="ru-RU"/>
        </w:rPr>
        <w:t xml:space="preserve">януари – </w:t>
      </w:r>
      <w:r w:rsidRPr="00DC46C4">
        <w:rPr>
          <w:color w:val="auto"/>
          <w:szCs w:val="24"/>
        </w:rPr>
        <w:t xml:space="preserve">октомври </w:t>
      </w:r>
      <w:r w:rsidRPr="00DC46C4">
        <w:rPr>
          <w:bCs/>
          <w:color w:val="auto"/>
          <w:szCs w:val="24"/>
        </w:rPr>
        <w:t xml:space="preserve">2016 </w:t>
      </w:r>
      <w:r w:rsidRPr="00DC46C4">
        <w:rPr>
          <w:color w:val="auto"/>
          <w:szCs w:val="24"/>
        </w:rPr>
        <w:t xml:space="preserve">г. </w:t>
      </w:r>
      <w:r w:rsidRPr="00DC46C4">
        <w:rPr>
          <w:b/>
          <w:color w:val="auto"/>
          <w:szCs w:val="24"/>
        </w:rPr>
        <w:t xml:space="preserve">е 15,8%. </w:t>
      </w:r>
    </w:p>
    <w:p w:rsidR="00F82EA1" w:rsidRPr="00DC46C4" w:rsidRDefault="00F82EA1" w:rsidP="004E05CF">
      <w:pPr>
        <w:pStyle w:val="Caption"/>
        <w:rPr>
          <w:color w:val="auto"/>
          <w:sz w:val="24"/>
          <w:szCs w:val="24"/>
        </w:rPr>
      </w:pPr>
    </w:p>
    <w:p w:rsidR="00F82EA1" w:rsidRPr="00A72D7D" w:rsidRDefault="00F82EA1" w:rsidP="004E05CF">
      <w:pPr>
        <w:pStyle w:val="Caption"/>
        <w:rPr>
          <w:color w:val="auto"/>
          <w:lang w:val="ru-RU"/>
        </w:rPr>
      </w:pPr>
    </w:p>
    <w:p w:rsidR="00F82EA1" w:rsidRPr="004173E2" w:rsidRDefault="00F82EA1" w:rsidP="004173E2">
      <w:pPr>
        <w:rPr>
          <w:lang w:val="ru-RU"/>
        </w:rPr>
      </w:pPr>
    </w:p>
    <w:p w:rsidR="00F82EA1" w:rsidRPr="004173E2" w:rsidRDefault="00F82EA1" w:rsidP="004173E2">
      <w:pPr>
        <w:rPr>
          <w:lang w:val="ru-RU"/>
        </w:rPr>
      </w:pPr>
    </w:p>
    <w:p w:rsidR="00F82EA1" w:rsidRPr="004173E2" w:rsidRDefault="00F82EA1" w:rsidP="004173E2">
      <w:pPr>
        <w:rPr>
          <w:lang w:val="ru-RU"/>
        </w:rPr>
      </w:pPr>
    </w:p>
    <w:p w:rsidR="00F82EA1" w:rsidRPr="00272218" w:rsidRDefault="00F82EA1" w:rsidP="00686C82">
      <w:pPr>
        <w:pStyle w:val="Caption"/>
        <w:rPr>
          <w:color w:val="4F6228"/>
        </w:rPr>
      </w:pPr>
      <w:r w:rsidRPr="00272218">
        <w:rPr>
          <w:color w:val="4F6228"/>
        </w:rPr>
        <w:lastRenderedPageBreak/>
        <w:t xml:space="preserve">Таблица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Таблица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3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 xml:space="preserve">. Пътувания на български граждани в чужбина, януари </w:t>
      </w:r>
      <w:r>
        <w:rPr>
          <w:color w:val="4F6228"/>
        </w:rPr>
        <w:t xml:space="preserve">– октомври 2017 г. / януари – октомври </w:t>
      </w:r>
      <w:r w:rsidRPr="00272218">
        <w:rPr>
          <w:color w:val="4F6228"/>
        </w:rPr>
        <w:t>2016 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F82EA1" w:rsidRPr="00AB33F1" w:rsidTr="004D7091">
        <w:trPr>
          <w:trHeight w:val="20"/>
          <w:tblHeader/>
        </w:trPr>
        <w:tc>
          <w:tcPr>
            <w:tcW w:w="567" w:type="dxa"/>
            <w:shd w:val="clear" w:color="auto" w:fill="D9D9D9"/>
            <w:vAlign w:val="center"/>
          </w:tcPr>
          <w:p w:rsidR="00F82EA1" w:rsidRPr="00EF69CD" w:rsidRDefault="00F82EA1" w:rsidP="00EE3A60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shd w:val="clear" w:color="auto" w:fill="D9D9D9"/>
            <w:vAlign w:val="center"/>
          </w:tcPr>
          <w:p w:rsidR="00F82EA1" w:rsidRPr="00EF69CD" w:rsidRDefault="00F82EA1" w:rsidP="00EE3A60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F82EA1" w:rsidRPr="00EF69CD" w:rsidRDefault="00F82EA1" w:rsidP="00EE3A60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F82EA1" w:rsidRPr="00EF69CD" w:rsidRDefault="00F82EA1" w:rsidP="00EE3A60">
            <w:pPr>
              <w:jc w:val="right"/>
              <w:rPr>
                <w:b/>
                <w:bCs/>
                <w:sz w:val="18"/>
                <w:szCs w:val="18"/>
                <w:lang w:val="en-US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F82EA1" w:rsidRPr="00EF69CD" w:rsidRDefault="00F82EA1" w:rsidP="00EE3A60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F82EA1" w:rsidRPr="00EF69CD" w:rsidRDefault="00F82EA1" w:rsidP="00EE3A60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F82EA1" w:rsidRPr="00EF69CD" w:rsidRDefault="00F82EA1" w:rsidP="00EE3A60">
            <w:pPr>
              <w:jc w:val="right"/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F82EA1" w:rsidRPr="00351C53" w:rsidTr="00BA3498">
        <w:trPr>
          <w:trHeight w:val="380"/>
        </w:trPr>
        <w:tc>
          <w:tcPr>
            <w:tcW w:w="4962" w:type="dxa"/>
            <w:gridSpan w:val="2"/>
            <w:shd w:val="clear" w:color="auto" w:fill="006600"/>
            <w:vAlign w:val="center"/>
          </w:tcPr>
          <w:p w:rsidR="00F82EA1" w:rsidRPr="004E5226" w:rsidRDefault="00F82EA1" w:rsidP="00EE3A60">
            <w:pPr>
              <w:rPr>
                <w:b/>
                <w:color w:val="auto"/>
                <w:sz w:val="20"/>
                <w:szCs w:val="20"/>
              </w:rPr>
            </w:pPr>
            <w:r w:rsidRPr="004E5226">
              <w:rPr>
                <w:b/>
                <w:color w:val="auto"/>
                <w:sz w:val="20"/>
                <w:szCs w:val="20"/>
              </w:rPr>
              <w:t>Общо</w:t>
            </w:r>
          </w:p>
        </w:tc>
        <w:tc>
          <w:tcPr>
            <w:tcW w:w="1275" w:type="dxa"/>
            <w:shd w:val="clear" w:color="auto" w:fill="006600"/>
          </w:tcPr>
          <w:p w:rsidR="00F82EA1" w:rsidRPr="00351C53" w:rsidRDefault="00F82EA1" w:rsidP="00EE3A60">
            <w:pPr>
              <w:jc w:val="right"/>
              <w:rPr>
                <w:b/>
                <w:color w:val="auto"/>
              </w:rPr>
            </w:pPr>
            <w:r w:rsidRPr="00351C53">
              <w:rPr>
                <w:b/>
                <w:color w:val="auto"/>
                <w:sz w:val="22"/>
              </w:rPr>
              <w:t>5 350 799</w:t>
            </w:r>
          </w:p>
        </w:tc>
        <w:tc>
          <w:tcPr>
            <w:tcW w:w="1560" w:type="dxa"/>
            <w:shd w:val="clear" w:color="auto" w:fill="006600"/>
          </w:tcPr>
          <w:p w:rsidR="00F82EA1" w:rsidRPr="00351C53" w:rsidRDefault="00F82EA1" w:rsidP="00EE3A60">
            <w:pPr>
              <w:jc w:val="right"/>
              <w:rPr>
                <w:b/>
                <w:color w:val="auto"/>
              </w:rPr>
            </w:pPr>
            <w:r w:rsidRPr="00351C53">
              <w:rPr>
                <w:b/>
                <w:color w:val="auto"/>
                <w:sz w:val="22"/>
              </w:rPr>
              <w:t>729 458</w:t>
            </w:r>
          </w:p>
        </w:tc>
        <w:tc>
          <w:tcPr>
            <w:tcW w:w="1275" w:type="dxa"/>
            <w:shd w:val="clear" w:color="auto" w:fill="006600"/>
          </w:tcPr>
          <w:p w:rsidR="00F82EA1" w:rsidRPr="00351C53" w:rsidRDefault="00F82EA1" w:rsidP="00EE3A60">
            <w:pPr>
              <w:jc w:val="right"/>
              <w:rPr>
                <w:b/>
                <w:color w:val="auto"/>
              </w:rPr>
            </w:pPr>
            <w:r w:rsidRPr="00351C53">
              <w:rPr>
                <w:b/>
                <w:color w:val="auto"/>
                <w:sz w:val="22"/>
              </w:rPr>
              <w:t>15,8</w:t>
            </w:r>
          </w:p>
        </w:tc>
      </w:tr>
      <w:tr w:rsidR="00F82EA1" w:rsidRPr="004D709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  <w:lang w:eastAsia="bg-BG"/>
              </w:rPr>
            </w:pPr>
            <w:r w:rsidRPr="004E5226">
              <w:rPr>
                <w:color w:val="auto"/>
                <w:sz w:val="22"/>
              </w:rPr>
              <w:t>1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pPr>
              <w:rPr>
                <w:lang w:eastAsia="bg-BG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1 179 932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129 738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12,4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ТУРЦИЯ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1 098 804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61 107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5,9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407 502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56 312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16,0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СЪРБИЯ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398 283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49 345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14,1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5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МАКЕДОНИЯ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344 910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32 573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10,4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6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341 740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50 555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17,4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7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ИТАЛИЯ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197 115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49 316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33,4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8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173 737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36 211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26,3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9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149 393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30 433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25,6</w:t>
            </w:r>
          </w:p>
        </w:tc>
      </w:tr>
      <w:tr w:rsidR="00F82EA1" w:rsidRPr="004D709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10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146 608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24 014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19,6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11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130 878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18 824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16,8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12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82 719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8 803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11,9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13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72 711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23 724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48,4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14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58 823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16 298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38,3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15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53 997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13 365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32,9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16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53 907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14 368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36,3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17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РУСИЯ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47 555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7 531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18,8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18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31 637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9 611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43,6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19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29 983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10 464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53,6</w:t>
            </w:r>
          </w:p>
        </w:tc>
      </w:tr>
      <w:tr w:rsidR="00F82EA1" w:rsidRPr="004D709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20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29 506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5 490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22,9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21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23 505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6 302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36,6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22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УКРАЙНА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20 119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3 679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22,4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23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САЩ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19 066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3 111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19,5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24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18 753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-248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-1,3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25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ИЗРАЕЛ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17 034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-519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-3,0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26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ШВЕЙЦАРИЯ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16 205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4 012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32,9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27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16 101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5 163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47,2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28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МОЛДОВА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13 959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-92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-0,7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29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АЛБАНИЯ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13 582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1 444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11,9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30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12 079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5 491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83,3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31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10 771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1 620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17,7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32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ИРЛАНДИЯ/ЕЙРЕ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10 743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2 125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24,7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33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9 883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6 315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177,0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34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ЧЕРНА ГОРА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9 740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4 797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97,0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35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БЕЛАРУС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7 129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4 783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203,9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36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НОРВЕГИЯ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6 599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708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12,0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37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ОБЕД.АРАБ.ЕМИР.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6 166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2 659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75,8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38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КАНАДА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6 007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-409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-6,4</w:t>
            </w:r>
          </w:p>
        </w:tc>
      </w:tr>
      <w:tr w:rsidR="00F82EA1" w:rsidRPr="004D709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39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БОСНА И ХЕРЦЕГОВИНА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5 366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4 458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491,0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40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5 341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3 441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181,1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41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3 771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2 658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238,8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42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ЯПОНИЯ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3 723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1 500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67,5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43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3 623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-355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-8,9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44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3 345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1 087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48,1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lastRenderedPageBreak/>
              <w:t>45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КИТАЙ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3 215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363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12,7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46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СИНГАПУР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3 075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2 440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384,3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47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ЕГИПЕТ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2 313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918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65,8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48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КУБА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2 025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1 953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2 712,5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49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ТУНИС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1 871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1 231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192,3</w:t>
            </w:r>
          </w:p>
        </w:tc>
      </w:tr>
      <w:tr w:rsidR="00F82EA1" w:rsidRPr="00AB33F1" w:rsidTr="00BA3498">
        <w:trPr>
          <w:trHeight w:val="20"/>
        </w:trPr>
        <w:tc>
          <w:tcPr>
            <w:tcW w:w="567" w:type="dxa"/>
            <w:vAlign w:val="bottom"/>
          </w:tcPr>
          <w:p w:rsidR="00F82EA1" w:rsidRPr="004E5226" w:rsidRDefault="00F82EA1" w:rsidP="00BA3498">
            <w:pPr>
              <w:jc w:val="right"/>
              <w:rPr>
                <w:color w:val="auto"/>
              </w:rPr>
            </w:pPr>
            <w:r w:rsidRPr="004E5226">
              <w:rPr>
                <w:color w:val="auto"/>
                <w:sz w:val="22"/>
              </w:rPr>
              <w:t>50</w:t>
            </w:r>
          </w:p>
        </w:tc>
        <w:tc>
          <w:tcPr>
            <w:tcW w:w="4395" w:type="dxa"/>
            <w:vAlign w:val="bottom"/>
          </w:tcPr>
          <w:p w:rsidR="00F82EA1" w:rsidRDefault="00F82EA1" w:rsidP="00BA3498">
            <w:r>
              <w:rPr>
                <w:sz w:val="22"/>
              </w:rPr>
              <w:t>АЗЕРБАЙДЖАН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1 847</w:t>
            </w:r>
          </w:p>
        </w:tc>
        <w:tc>
          <w:tcPr>
            <w:tcW w:w="1560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863</w:t>
            </w:r>
          </w:p>
        </w:tc>
        <w:tc>
          <w:tcPr>
            <w:tcW w:w="1275" w:type="dxa"/>
            <w:vAlign w:val="bottom"/>
          </w:tcPr>
          <w:p w:rsidR="00F82EA1" w:rsidRDefault="00F82EA1" w:rsidP="00BA3498">
            <w:pPr>
              <w:jc w:val="right"/>
            </w:pPr>
            <w:r>
              <w:rPr>
                <w:sz w:val="22"/>
              </w:rPr>
              <w:t>87,7</w:t>
            </w:r>
          </w:p>
        </w:tc>
      </w:tr>
    </w:tbl>
    <w:p w:rsidR="00F82EA1" w:rsidRPr="00E35903" w:rsidRDefault="00F82EA1" w:rsidP="004E05CF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F82EA1" w:rsidRPr="00272218" w:rsidRDefault="00F82EA1" w:rsidP="005C11A5">
      <w:pPr>
        <w:pStyle w:val="Caption"/>
        <w:rPr>
          <w:color w:val="4F6228"/>
        </w:rPr>
      </w:pPr>
      <w:r w:rsidRPr="00272218">
        <w:rPr>
          <w:color w:val="4F6228"/>
        </w:rPr>
        <w:t xml:space="preserve">Фигура </w:t>
      </w:r>
      <w:r w:rsidRPr="00272218">
        <w:rPr>
          <w:color w:val="4F6228"/>
        </w:rPr>
        <w:fldChar w:fldCharType="begin"/>
      </w:r>
      <w:r w:rsidRPr="00272218">
        <w:rPr>
          <w:color w:val="4F6228"/>
        </w:rPr>
        <w:instrText xml:space="preserve"> SEQ фигура \* ARABIC </w:instrText>
      </w:r>
      <w:r w:rsidRPr="00272218">
        <w:rPr>
          <w:color w:val="4F6228"/>
        </w:rPr>
        <w:fldChar w:fldCharType="separate"/>
      </w:r>
      <w:r>
        <w:rPr>
          <w:noProof/>
          <w:color w:val="4F6228"/>
        </w:rPr>
        <w:t>5</w:t>
      </w:r>
      <w:r w:rsidRPr="00272218">
        <w:rPr>
          <w:color w:val="4F6228"/>
        </w:rPr>
        <w:fldChar w:fldCharType="end"/>
      </w:r>
      <w:r w:rsidRPr="00272218">
        <w:rPr>
          <w:color w:val="4F6228"/>
        </w:rPr>
        <w:t>. Пътувания на българи до водещи дестинации (брой)</w:t>
      </w:r>
    </w:p>
    <w:p w:rsidR="00F82EA1" w:rsidRDefault="00F82EA1" w:rsidP="005C11A5">
      <w:pPr>
        <w:rPr>
          <w:noProof/>
          <w:lang w:eastAsia="bg-BG"/>
        </w:rPr>
      </w:pPr>
      <w:r w:rsidRPr="0093776B">
        <w:rPr>
          <w:noProof/>
          <w:lang w:eastAsia="bg-BG"/>
        </w:rPr>
        <w:object w:dxaOrig="8652" w:dyaOrig="6075">
          <v:shape id="_x0000_i1029" type="#_x0000_t75" style="width:428.25pt;height:303.75pt" o:ole="">
            <v:imagedata r:id="rId15" o:title=""/>
            <o:lock v:ext="edit" aspectratio="f"/>
          </v:shape>
          <o:OLEObject Type="Embed" ProgID="Excel.Sheet.8" ShapeID="_x0000_i1029" DrawAspect="Content" ObjectID="_1573466405" r:id="rId16"/>
        </w:object>
      </w:r>
    </w:p>
    <w:p w:rsidR="00F82EA1" w:rsidRPr="00E35903" w:rsidRDefault="00F82EA1" w:rsidP="00751959">
      <w:pPr>
        <w:ind w:left="5664" w:firstLine="708"/>
        <w:jc w:val="center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F82EA1" w:rsidRDefault="00F82EA1" w:rsidP="005D1A5B"/>
    <w:p w:rsidR="00F82EA1" w:rsidRPr="004173E2" w:rsidRDefault="00F82EA1" w:rsidP="005D1A5B">
      <w:pPr>
        <w:rPr>
          <w:lang w:val="en-US"/>
        </w:rPr>
      </w:pPr>
    </w:p>
    <w:sectPr w:rsidR="00F82EA1" w:rsidRPr="004173E2" w:rsidSect="0019335C">
      <w:headerReference w:type="default" r:id="rId17"/>
      <w:footerReference w:type="default" r:id="rId18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EA1" w:rsidRDefault="00F82EA1" w:rsidP="00CD1C28">
      <w:r>
        <w:separator/>
      </w:r>
    </w:p>
  </w:endnote>
  <w:endnote w:type="continuationSeparator" w:id="0">
    <w:p w:rsidR="00F82EA1" w:rsidRDefault="00F82EA1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EA1" w:rsidRPr="005F30B6" w:rsidRDefault="00F82EA1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793574">
      <w:rPr>
        <w:noProof/>
        <w:color w:val="7F7F7F"/>
        <w:sz w:val="20"/>
        <w:szCs w:val="20"/>
      </w:rPr>
      <w:t>2</w:t>
    </w:r>
    <w:r w:rsidRPr="005F30B6">
      <w:rPr>
        <w:color w:val="7F7F7F"/>
        <w:sz w:val="20"/>
        <w:szCs w:val="20"/>
      </w:rPr>
      <w:fldChar w:fldCharType="end"/>
    </w:r>
  </w:p>
  <w:p w:rsidR="00F82EA1" w:rsidRDefault="00F82E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EA1" w:rsidRDefault="00F82EA1" w:rsidP="00CD1C28">
      <w:r>
        <w:separator/>
      </w:r>
    </w:p>
  </w:footnote>
  <w:footnote w:type="continuationSeparator" w:id="0">
    <w:p w:rsidR="00F82EA1" w:rsidRDefault="00F82EA1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F82EA1" w:rsidTr="006D73EB">
      <w:tc>
        <w:tcPr>
          <w:tcW w:w="1056" w:type="dxa"/>
          <w:vAlign w:val="center"/>
        </w:tcPr>
        <w:p w:rsidR="00F82EA1" w:rsidRPr="006D73EB" w:rsidRDefault="00793574" w:rsidP="006D73EB">
          <w:pPr>
            <w:pStyle w:val="Header"/>
            <w:jc w:val="right"/>
          </w:pPr>
          <w:r>
            <w:rPr>
              <w:noProof/>
              <w:lang w:eastAsia="bg-BG"/>
            </w:rPr>
            <w:pict>
              <v:rect id="Rectangle 2" o:spid="_x0000_s2049" style="position:absolute;left:0;text-align:left;margin-left:-304.3pt;margin-top:-18.35pt;width:555.35pt;height:803.25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E6xw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" stroked="f" strokeweight="2pt">
                <v:shadow on="t" color="black" opacity="26213f" origin="-.5,-.5" offset=".74836mm,.74836mm"/>
              </v:rect>
            </w:pict>
          </w:r>
          <w:r>
            <w:rPr>
              <w:noProof/>
              <w:lang w:eastAsia="bg-BG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30" type="#_x0000_t75" style="width:39.75pt;height:33.75pt;visibility:visible" o:ole="">
                <v:imagedata r:id="rId1" o:title="" cropright="45855f"/>
              </v:shape>
            </w:pict>
          </w:r>
        </w:p>
      </w:tc>
      <w:tc>
        <w:tcPr>
          <w:tcW w:w="3546" w:type="dxa"/>
          <w:vAlign w:val="center"/>
        </w:tcPr>
        <w:p w:rsidR="00F82EA1" w:rsidRPr="006D73EB" w:rsidRDefault="00793574" w:rsidP="006D73EB">
          <w:pPr>
            <w:pStyle w:val="Header"/>
            <w:jc w:val="right"/>
          </w:pPr>
          <w:r>
            <w:rPr>
              <w:noProof/>
              <w:lang w:eastAsia="bg-BG"/>
            </w:rPr>
            <w:pict>
              <v:shape id="Picture 1" o:spid="_x0000_i1031" type="#_x0000_t75" style="width:162pt;height:41.25pt;visibility:visible" o:ole="">
                <v:imagedata r:id="rId1" o:title="" croptop="8738f" cropbottom="12306f" cropleft="21945f"/>
              </v:shape>
            </w:pict>
          </w:r>
        </w:p>
      </w:tc>
    </w:tr>
  </w:tbl>
  <w:p w:rsidR="00F82EA1" w:rsidRDefault="00F82E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1C28"/>
    <w:rsid w:val="0001365A"/>
    <w:rsid w:val="000170E0"/>
    <w:rsid w:val="00023EF6"/>
    <w:rsid w:val="00045A02"/>
    <w:rsid w:val="000478D0"/>
    <w:rsid w:val="00052941"/>
    <w:rsid w:val="00052D5E"/>
    <w:rsid w:val="00094CD9"/>
    <w:rsid w:val="00097974"/>
    <w:rsid w:val="00097B7C"/>
    <w:rsid w:val="000A3C94"/>
    <w:rsid w:val="000B16C1"/>
    <w:rsid w:val="000C6189"/>
    <w:rsid w:val="000D0185"/>
    <w:rsid w:val="000D1C21"/>
    <w:rsid w:val="000D62BF"/>
    <w:rsid w:val="000E23F6"/>
    <w:rsid w:val="001032C3"/>
    <w:rsid w:val="00136768"/>
    <w:rsid w:val="00143A43"/>
    <w:rsid w:val="001513AF"/>
    <w:rsid w:val="0015603F"/>
    <w:rsid w:val="00181707"/>
    <w:rsid w:val="0019335C"/>
    <w:rsid w:val="00196BD2"/>
    <w:rsid w:val="001A25AC"/>
    <w:rsid w:val="001C180C"/>
    <w:rsid w:val="001E6C53"/>
    <w:rsid w:val="001F7C77"/>
    <w:rsid w:val="002011C5"/>
    <w:rsid w:val="0021021B"/>
    <w:rsid w:val="00214B22"/>
    <w:rsid w:val="00221479"/>
    <w:rsid w:val="00223F66"/>
    <w:rsid w:val="00232422"/>
    <w:rsid w:val="00241C58"/>
    <w:rsid w:val="0024235B"/>
    <w:rsid w:val="00242604"/>
    <w:rsid w:val="00242844"/>
    <w:rsid w:val="00250859"/>
    <w:rsid w:val="00255893"/>
    <w:rsid w:val="00272218"/>
    <w:rsid w:val="002834B9"/>
    <w:rsid w:val="00284D63"/>
    <w:rsid w:val="00290D2A"/>
    <w:rsid w:val="002A400A"/>
    <w:rsid w:val="002C1627"/>
    <w:rsid w:val="002C2F64"/>
    <w:rsid w:val="002C338E"/>
    <w:rsid w:val="002C3D3B"/>
    <w:rsid w:val="002C680D"/>
    <w:rsid w:val="002C707C"/>
    <w:rsid w:val="002D4FE4"/>
    <w:rsid w:val="002D65A0"/>
    <w:rsid w:val="002F3455"/>
    <w:rsid w:val="00305D90"/>
    <w:rsid w:val="00317439"/>
    <w:rsid w:val="0034511C"/>
    <w:rsid w:val="00350D26"/>
    <w:rsid w:val="00351C53"/>
    <w:rsid w:val="0035753F"/>
    <w:rsid w:val="00396DFD"/>
    <w:rsid w:val="003A4E38"/>
    <w:rsid w:val="003A6BC8"/>
    <w:rsid w:val="003E0B43"/>
    <w:rsid w:val="00401504"/>
    <w:rsid w:val="004173E2"/>
    <w:rsid w:val="00421AC8"/>
    <w:rsid w:val="00444632"/>
    <w:rsid w:val="00457339"/>
    <w:rsid w:val="00473DA6"/>
    <w:rsid w:val="004A0037"/>
    <w:rsid w:val="004A47B1"/>
    <w:rsid w:val="004C226E"/>
    <w:rsid w:val="004C7192"/>
    <w:rsid w:val="004D7091"/>
    <w:rsid w:val="004E05CF"/>
    <w:rsid w:val="004E326A"/>
    <w:rsid w:val="004E5226"/>
    <w:rsid w:val="00534C32"/>
    <w:rsid w:val="00545135"/>
    <w:rsid w:val="00550FCC"/>
    <w:rsid w:val="00551DB5"/>
    <w:rsid w:val="00557F27"/>
    <w:rsid w:val="00561C2C"/>
    <w:rsid w:val="0056756C"/>
    <w:rsid w:val="0057128C"/>
    <w:rsid w:val="005744B3"/>
    <w:rsid w:val="005A4B14"/>
    <w:rsid w:val="005B694A"/>
    <w:rsid w:val="005C11A5"/>
    <w:rsid w:val="005D1A5B"/>
    <w:rsid w:val="005D57BD"/>
    <w:rsid w:val="005D64C1"/>
    <w:rsid w:val="005E3F80"/>
    <w:rsid w:val="005F30B6"/>
    <w:rsid w:val="005F48BD"/>
    <w:rsid w:val="00604E8D"/>
    <w:rsid w:val="00610DEA"/>
    <w:rsid w:val="00627324"/>
    <w:rsid w:val="00662155"/>
    <w:rsid w:val="00686C82"/>
    <w:rsid w:val="0069235D"/>
    <w:rsid w:val="006A52EB"/>
    <w:rsid w:val="006C01B6"/>
    <w:rsid w:val="006C1DDB"/>
    <w:rsid w:val="006C25B6"/>
    <w:rsid w:val="006D54F9"/>
    <w:rsid w:val="006D73EB"/>
    <w:rsid w:val="006E5670"/>
    <w:rsid w:val="006F366F"/>
    <w:rsid w:val="00700111"/>
    <w:rsid w:val="00703539"/>
    <w:rsid w:val="00713A83"/>
    <w:rsid w:val="00717C17"/>
    <w:rsid w:val="00726994"/>
    <w:rsid w:val="00726A54"/>
    <w:rsid w:val="00751959"/>
    <w:rsid w:val="00752011"/>
    <w:rsid w:val="00756748"/>
    <w:rsid w:val="00760567"/>
    <w:rsid w:val="007671F8"/>
    <w:rsid w:val="00770B72"/>
    <w:rsid w:val="00776DB7"/>
    <w:rsid w:val="00793291"/>
    <w:rsid w:val="00793574"/>
    <w:rsid w:val="00794C43"/>
    <w:rsid w:val="007B5B14"/>
    <w:rsid w:val="007C28B3"/>
    <w:rsid w:val="007C7F7A"/>
    <w:rsid w:val="007D3B60"/>
    <w:rsid w:val="007F2B52"/>
    <w:rsid w:val="008030A3"/>
    <w:rsid w:val="008047FE"/>
    <w:rsid w:val="00821FBD"/>
    <w:rsid w:val="00825667"/>
    <w:rsid w:val="008430AD"/>
    <w:rsid w:val="00846271"/>
    <w:rsid w:val="008613B4"/>
    <w:rsid w:val="008649CA"/>
    <w:rsid w:val="00866F6E"/>
    <w:rsid w:val="00872AB7"/>
    <w:rsid w:val="00876F7B"/>
    <w:rsid w:val="00897EF8"/>
    <w:rsid w:val="008A5451"/>
    <w:rsid w:val="008B06DB"/>
    <w:rsid w:val="008C74A9"/>
    <w:rsid w:val="008D2E7A"/>
    <w:rsid w:val="008D3E79"/>
    <w:rsid w:val="008E09D4"/>
    <w:rsid w:val="008F38F9"/>
    <w:rsid w:val="00900B3E"/>
    <w:rsid w:val="009269C3"/>
    <w:rsid w:val="00936B17"/>
    <w:rsid w:val="0093776B"/>
    <w:rsid w:val="00940BF7"/>
    <w:rsid w:val="00961089"/>
    <w:rsid w:val="00965EA0"/>
    <w:rsid w:val="009A71A8"/>
    <w:rsid w:val="009B0A82"/>
    <w:rsid w:val="009B0F3D"/>
    <w:rsid w:val="009C0556"/>
    <w:rsid w:val="009C3B4F"/>
    <w:rsid w:val="009D6E25"/>
    <w:rsid w:val="009E5024"/>
    <w:rsid w:val="00A015BA"/>
    <w:rsid w:val="00A06379"/>
    <w:rsid w:val="00A100E1"/>
    <w:rsid w:val="00A134BA"/>
    <w:rsid w:val="00A15598"/>
    <w:rsid w:val="00A33726"/>
    <w:rsid w:val="00A51ABC"/>
    <w:rsid w:val="00A607C4"/>
    <w:rsid w:val="00A65016"/>
    <w:rsid w:val="00A70F2D"/>
    <w:rsid w:val="00A72D7D"/>
    <w:rsid w:val="00A85A8B"/>
    <w:rsid w:val="00A90CBF"/>
    <w:rsid w:val="00AA463E"/>
    <w:rsid w:val="00AB1D32"/>
    <w:rsid w:val="00AB2BA9"/>
    <w:rsid w:val="00AB33F1"/>
    <w:rsid w:val="00AB3F03"/>
    <w:rsid w:val="00AB424F"/>
    <w:rsid w:val="00AB560C"/>
    <w:rsid w:val="00AC74B6"/>
    <w:rsid w:val="00AD1856"/>
    <w:rsid w:val="00AD3E35"/>
    <w:rsid w:val="00AF1775"/>
    <w:rsid w:val="00AF462B"/>
    <w:rsid w:val="00AF646E"/>
    <w:rsid w:val="00B02A92"/>
    <w:rsid w:val="00B11117"/>
    <w:rsid w:val="00B237EB"/>
    <w:rsid w:val="00B246B0"/>
    <w:rsid w:val="00B33B8E"/>
    <w:rsid w:val="00B467C4"/>
    <w:rsid w:val="00B61853"/>
    <w:rsid w:val="00B631FE"/>
    <w:rsid w:val="00B72752"/>
    <w:rsid w:val="00B7342C"/>
    <w:rsid w:val="00B90B72"/>
    <w:rsid w:val="00B9724B"/>
    <w:rsid w:val="00BA12B6"/>
    <w:rsid w:val="00BA3498"/>
    <w:rsid w:val="00BB3B61"/>
    <w:rsid w:val="00BC5212"/>
    <w:rsid w:val="00BD3B41"/>
    <w:rsid w:val="00BE5D14"/>
    <w:rsid w:val="00C048D7"/>
    <w:rsid w:val="00C07889"/>
    <w:rsid w:val="00C1563D"/>
    <w:rsid w:val="00C15A76"/>
    <w:rsid w:val="00C20AA1"/>
    <w:rsid w:val="00C23EE2"/>
    <w:rsid w:val="00C26EF5"/>
    <w:rsid w:val="00C3228C"/>
    <w:rsid w:val="00C3331F"/>
    <w:rsid w:val="00C53DA5"/>
    <w:rsid w:val="00C55AE0"/>
    <w:rsid w:val="00C628E2"/>
    <w:rsid w:val="00C80DAE"/>
    <w:rsid w:val="00C8260E"/>
    <w:rsid w:val="00C86789"/>
    <w:rsid w:val="00C91A34"/>
    <w:rsid w:val="00CA203D"/>
    <w:rsid w:val="00CA32A3"/>
    <w:rsid w:val="00CA41DF"/>
    <w:rsid w:val="00CC531D"/>
    <w:rsid w:val="00CD1C28"/>
    <w:rsid w:val="00CD2267"/>
    <w:rsid w:val="00CD50A1"/>
    <w:rsid w:val="00CE0F6F"/>
    <w:rsid w:val="00CF3925"/>
    <w:rsid w:val="00D020E8"/>
    <w:rsid w:val="00D140A0"/>
    <w:rsid w:val="00D1567B"/>
    <w:rsid w:val="00D17099"/>
    <w:rsid w:val="00D23DC3"/>
    <w:rsid w:val="00D46213"/>
    <w:rsid w:val="00D53F2F"/>
    <w:rsid w:val="00D5419C"/>
    <w:rsid w:val="00D62D6C"/>
    <w:rsid w:val="00D76F66"/>
    <w:rsid w:val="00D845AC"/>
    <w:rsid w:val="00D873A8"/>
    <w:rsid w:val="00D923C6"/>
    <w:rsid w:val="00DA35D9"/>
    <w:rsid w:val="00DC0013"/>
    <w:rsid w:val="00DC46C4"/>
    <w:rsid w:val="00DE1829"/>
    <w:rsid w:val="00E048EB"/>
    <w:rsid w:val="00E06105"/>
    <w:rsid w:val="00E12698"/>
    <w:rsid w:val="00E235B1"/>
    <w:rsid w:val="00E26E47"/>
    <w:rsid w:val="00E3280C"/>
    <w:rsid w:val="00E34719"/>
    <w:rsid w:val="00E35903"/>
    <w:rsid w:val="00E37BAA"/>
    <w:rsid w:val="00E448F7"/>
    <w:rsid w:val="00E452DA"/>
    <w:rsid w:val="00E46745"/>
    <w:rsid w:val="00E47401"/>
    <w:rsid w:val="00E516F7"/>
    <w:rsid w:val="00E51D31"/>
    <w:rsid w:val="00E525B1"/>
    <w:rsid w:val="00E624C6"/>
    <w:rsid w:val="00E64B96"/>
    <w:rsid w:val="00E65A74"/>
    <w:rsid w:val="00E65DB9"/>
    <w:rsid w:val="00E67058"/>
    <w:rsid w:val="00E71DC5"/>
    <w:rsid w:val="00E732BB"/>
    <w:rsid w:val="00E81D5D"/>
    <w:rsid w:val="00E92752"/>
    <w:rsid w:val="00EA616C"/>
    <w:rsid w:val="00EC4B42"/>
    <w:rsid w:val="00ED48F4"/>
    <w:rsid w:val="00ED6549"/>
    <w:rsid w:val="00EE1532"/>
    <w:rsid w:val="00EE3A60"/>
    <w:rsid w:val="00EF5164"/>
    <w:rsid w:val="00EF69CD"/>
    <w:rsid w:val="00F019E7"/>
    <w:rsid w:val="00F30B9D"/>
    <w:rsid w:val="00F33AA3"/>
    <w:rsid w:val="00F41C66"/>
    <w:rsid w:val="00F628B5"/>
    <w:rsid w:val="00F66919"/>
    <w:rsid w:val="00F82EA1"/>
    <w:rsid w:val="00F83DFB"/>
    <w:rsid w:val="00F86578"/>
    <w:rsid w:val="00FB3964"/>
    <w:rsid w:val="00FB46C1"/>
    <w:rsid w:val="00FB7A18"/>
    <w:rsid w:val="00FC084A"/>
    <w:rsid w:val="00FC4B8D"/>
    <w:rsid w:val="00FE3FE0"/>
    <w:rsid w:val="00FF2D1B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85C64D9"/>
  <w15:docId w15:val="{84C53415-AAFF-4C21-83AA-2AC3FEA1D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basedOn w:val="DefaultParagraphFont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 w:val="20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lang w:eastAsia="en-US"/>
    </w:rPr>
  </w:style>
  <w:style w:type="character" w:styleId="Emphasis">
    <w:name w:val="Emphasis"/>
    <w:basedOn w:val="DefaultParagraphFont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rPr>
      <w:sz w:val="20"/>
      <w:szCs w:val="20"/>
    </w:rPr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33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Worksheet2.xls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Microsoft_Excel_97-2003_Worksheet4.xls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Microsoft_Excel_97-2003_Worksheet1.xls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Worksheet3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7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119</cp:revision>
  <cp:lastPrinted>2017-11-28T20:04:00Z</cp:lastPrinted>
  <dcterms:created xsi:type="dcterms:W3CDTF">2017-04-27T06:15:00Z</dcterms:created>
  <dcterms:modified xsi:type="dcterms:W3CDTF">2017-11-29T11:14:00Z</dcterms:modified>
</cp:coreProperties>
</file>